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BBCF" w14:textId="77777777" w:rsidR="000D4E1F" w:rsidRPr="00C32770" w:rsidRDefault="000D4E1F" w:rsidP="000D4E1F">
      <w:pPr>
        <w:jc w:val="center"/>
        <w:rPr>
          <w:rFonts w:ascii="Verdana" w:hAnsi="Verdana"/>
          <w:b/>
          <w:sz w:val="24"/>
          <w:szCs w:val="24"/>
          <w:lang w:val="lt-LT"/>
        </w:rPr>
      </w:pPr>
      <w:r w:rsidRPr="00C32770">
        <w:rPr>
          <w:rFonts w:ascii="Verdana" w:hAnsi="Verdana"/>
          <w:b/>
          <w:sz w:val="24"/>
          <w:szCs w:val="24"/>
          <w:lang w:val="lt-LT"/>
        </w:rPr>
        <w:t>Duomenų sąrašo 3ES-mokykla</w:t>
      </w:r>
      <w:r w:rsidRPr="00C32770">
        <w:rPr>
          <w:rFonts w:ascii="Verdana" w:hAnsi="Verdana"/>
          <w:sz w:val="24"/>
          <w:szCs w:val="24"/>
          <w:lang w:val="lt-LT"/>
        </w:rPr>
        <w:t xml:space="preserve"> </w:t>
      </w:r>
      <w:r w:rsidRPr="00C32770">
        <w:rPr>
          <w:rFonts w:ascii="Verdana" w:hAnsi="Verdana"/>
          <w:b/>
          <w:sz w:val="24"/>
          <w:szCs w:val="24"/>
          <w:lang w:val="lt-LT"/>
        </w:rPr>
        <w:t>“Bendrojo ugdymo mokyklos duomenys (darbuotojai)“</w:t>
      </w:r>
      <w:r w:rsidRPr="00C32770">
        <w:rPr>
          <w:rFonts w:ascii="Verdana" w:hAnsi="Verdana"/>
          <w:sz w:val="24"/>
          <w:szCs w:val="24"/>
          <w:lang w:val="lt-LT"/>
        </w:rPr>
        <w:t xml:space="preserve"> </w:t>
      </w:r>
      <w:r w:rsidRPr="00C32770">
        <w:rPr>
          <w:rFonts w:ascii="Verdana" w:hAnsi="Verdana"/>
          <w:b/>
          <w:sz w:val="24"/>
          <w:szCs w:val="24"/>
          <w:lang w:val="lt-LT"/>
        </w:rPr>
        <w:t>pateikimo, pildymo ir atsiskaitymo instrukcija</w:t>
      </w:r>
    </w:p>
    <w:p w14:paraId="424AB384" w14:textId="77777777" w:rsidR="000D4E1F" w:rsidRPr="00107CD1" w:rsidRDefault="000D4E1F" w:rsidP="000D4E1F">
      <w:pPr>
        <w:jc w:val="center"/>
        <w:rPr>
          <w:sz w:val="28"/>
          <w:szCs w:val="28"/>
          <w:lang w:val="lt-LT"/>
        </w:rPr>
      </w:pPr>
    </w:p>
    <w:p w14:paraId="0AC5476F" w14:textId="77777777" w:rsidR="000D4E1F" w:rsidRPr="00107CD1" w:rsidRDefault="000D4E1F" w:rsidP="000D4E1F">
      <w:pPr>
        <w:jc w:val="both"/>
        <w:rPr>
          <w:b/>
          <w:sz w:val="22"/>
          <w:szCs w:val="22"/>
          <w:lang w:val="lt-LT"/>
        </w:rPr>
      </w:pPr>
    </w:p>
    <w:p w14:paraId="32FB0B73" w14:textId="75D525A8" w:rsidR="000D4E1F" w:rsidRPr="00C32770" w:rsidRDefault="000D4E1F" w:rsidP="00104A60">
      <w:pPr>
        <w:jc w:val="both"/>
        <w:rPr>
          <w:rFonts w:ascii="Verdana" w:hAnsi="Verdana"/>
          <w:sz w:val="22"/>
          <w:szCs w:val="22"/>
          <w:lang w:val="lt-LT"/>
        </w:rPr>
      </w:pPr>
      <w:r w:rsidRPr="00C32770">
        <w:rPr>
          <w:rFonts w:ascii="Verdana" w:hAnsi="Verdana"/>
          <w:sz w:val="22"/>
          <w:szCs w:val="22"/>
          <w:lang w:val="lt-LT"/>
        </w:rPr>
        <w:t xml:space="preserve">3ES mokykla  statistinis duomenų sąrašas turi būti atsiskaitytas </w:t>
      </w:r>
      <w:r w:rsidR="00BF2E04">
        <w:rPr>
          <w:rFonts w:ascii="Verdana" w:hAnsi="Verdana"/>
          <w:b/>
          <w:sz w:val="22"/>
          <w:szCs w:val="22"/>
          <w:lang w:val="lt-LT"/>
        </w:rPr>
        <w:t>iki 202</w:t>
      </w:r>
      <w:r w:rsidR="00AC26A9">
        <w:rPr>
          <w:rFonts w:ascii="Verdana" w:hAnsi="Verdana"/>
          <w:b/>
          <w:sz w:val="22"/>
          <w:szCs w:val="22"/>
          <w:lang w:val="lt-LT"/>
        </w:rPr>
        <w:t>3</w:t>
      </w:r>
      <w:r w:rsidRPr="00C32770">
        <w:rPr>
          <w:rFonts w:ascii="Verdana" w:hAnsi="Verdana"/>
          <w:b/>
          <w:sz w:val="22"/>
          <w:szCs w:val="22"/>
          <w:lang w:val="lt-LT"/>
        </w:rPr>
        <w:t xml:space="preserve"> m. gruodžio 31 d.</w:t>
      </w:r>
    </w:p>
    <w:p w14:paraId="63F30448" w14:textId="77777777" w:rsidR="000D4E1F" w:rsidRPr="00107CD1" w:rsidRDefault="000D4E1F" w:rsidP="000D4E1F">
      <w:pPr>
        <w:ind w:left="720"/>
        <w:jc w:val="both"/>
        <w:rPr>
          <w:sz w:val="24"/>
          <w:szCs w:val="24"/>
          <w:lang w:val="lt-LT"/>
        </w:rPr>
      </w:pPr>
    </w:p>
    <w:p w14:paraId="7CF81F43" w14:textId="77777777" w:rsidR="000D4E1F" w:rsidRPr="00C32770" w:rsidRDefault="000D4E1F" w:rsidP="000D4E1F">
      <w:pPr>
        <w:ind w:left="2160"/>
        <w:jc w:val="center"/>
        <w:rPr>
          <w:rFonts w:ascii="Verdana" w:hAnsi="Verdana"/>
          <w:b/>
          <w:sz w:val="24"/>
          <w:szCs w:val="24"/>
          <w:lang w:val="lt-LT"/>
        </w:rPr>
      </w:pPr>
      <w:r w:rsidRPr="00C32770">
        <w:rPr>
          <w:rFonts w:ascii="Verdana" w:hAnsi="Verdana"/>
          <w:b/>
          <w:sz w:val="24"/>
          <w:szCs w:val="24"/>
          <w:lang w:val="lt-LT"/>
        </w:rPr>
        <w:t>Pateikimo į ŠVIS tvarka</w:t>
      </w:r>
    </w:p>
    <w:p w14:paraId="55D436C3" w14:textId="77777777" w:rsidR="000D4E1F" w:rsidRPr="00107CD1" w:rsidRDefault="000D4E1F" w:rsidP="000D4E1F">
      <w:pPr>
        <w:jc w:val="both"/>
        <w:rPr>
          <w:b/>
          <w:sz w:val="24"/>
          <w:szCs w:val="24"/>
          <w:lang w:val="lt-LT"/>
        </w:rPr>
      </w:pPr>
    </w:p>
    <w:p w14:paraId="295AFA5B" w14:textId="77777777" w:rsidR="00682C4B" w:rsidRPr="00682C4B" w:rsidRDefault="000D4E1F" w:rsidP="00682C4B">
      <w:pPr>
        <w:numPr>
          <w:ilvl w:val="0"/>
          <w:numId w:val="3"/>
        </w:numPr>
        <w:ind w:left="397" w:hanging="397"/>
        <w:jc w:val="both"/>
        <w:rPr>
          <w:rFonts w:ascii="Verdana" w:hAnsi="Verdana"/>
          <w:sz w:val="22"/>
          <w:szCs w:val="22"/>
          <w:lang w:val="lt-LT"/>
        </w:rPr>
      </w:pPr>
      <w:proofErr w:type="spellStart"/>
      <w:r w:rsidRPr="00682C4B">
        <w:rPr>
          <w:rFonts w:ascii="Verdana" w:hAnsi="Verdana"/>
          <w:sz w:val="22"/>
          <w:szCs w:val="22"/>
        </w:rPr>
        <w:t>Interneto</w:t>
      </w:r>
      <w:proofErr w:type="spellEnd"/>
      <w:r w:rsidRPr="00682C4B">
        <w:rPr>
          <w:rFonts w:ascii="Verdana" w:hAnsi="Verdana"/>
          <w:sz w:val="22"/>
          <w:szCs w:val="22"/>
        </w:rPr>
        <w:t xml:space="preserve"> </w:t>
      </w:r>
      <w:proofErr w:type="spellStart"/>
      <w:r w:rsidRPr="00682C4B">
        <w:rPr>
          <w:rFonts w:ascii="Verdana" w:hAnsi="Verdana"/>
          <w:sz w:val="22"/>
          <w:szCs w:val="22"/>
        </w:rPr>
        <w:t>svetainėje</w:t>
      </w:r>
      <w:proofErr w:type="spellEnd"/>
      <w:r w:rsidRPr="00682C4B">
        <w:rPr>
          <w:rFonts w:ascii="Verdana" w:hAnsi="Verdana"/>
          <w:sz w:val="22"/>
          <w:szCs w:val="22"/>
        </w:rPr>
        <w:t xml:space="preserve"> </w:t>
      </w:r>
      <w:hyperlink r:id="rId6" w:history="1">
        <w:r w:rsidRPr="00682C4B">
          <w:rPr>
            <w:rStyle w:val="Hipersaitas"/>
            <w:rFonts w:ascii="Verdana" w:hAnsi="Verdana"/>
            <w:sz w:val="22"/>
            <w:szCs w:val="22"/>
          </w:rPr>
          <w:t>www.svis.smm.lt</w:t>
        </w:r>
      </w:hyperlink>
      <w:r w:rsidR="00265C92" w:rsidRPr="00682C4B">
        <w:rPr>
          <w:rFonts w:ascii="Verdana" w:hAnsi="Verdana"/>
          <w:sz w:val="22"/>
          <w:szCs w:val="22"/>
        </w:rPr>
        <w:t xml:space="preserve"> </w:t>
      </w:r>
      <w:proofErr w:type="spellStart"/>
      <w:r w:rsidR="00682C4B" w:rsidRPr="00682C4B">
        <w:rPr>
          <w:rFonts w:ascii="Verdana" w:hAnsi="Verdana"/>
          <w:sz w:val="22"/>
          <w:szCs w:val="22"/>
        </w:rPr>
        <w:t>spauskite</w:t>
      </w:r>
      <w:proofErr w:type="spellEnd"/>
      <w:r w:rsidR="00682C4B" w:rsidRPr="00682C4B">
        <w:rPr>
          <w:rFonts w:ascii="Verdana" w:hAnsi="Verdana"/>
          <w:sz w:val="22"/>
          <w:szCs w:val="22"/>
        </w:rPr>
        <w:t xml:space="preserve"> </w:t>
      </w:r>
      <w:proofErr w:type="spellStart"/>
      <w:r w:rsidR="00682C4B" w:rsidRPr="00682C4B">
        <w:rPr>
          <w:rFonts w:ascii="Verdana" w:hAnsi="Verdana"/>
          <w:sz w:val="22"/>
          <w:szCs w:val="22"/>
        </w:rPr>
        <w:t>nuorodą</w:t>
      </w:r>
      <w:proofErr w:type="spellEnd"/>
      <w:r w:rsidR="00682C4B" w:rsidRPr="00682C4B">
        <w:rPr>
          <w:rFonts w:ascii="Verdana" w:hAnsi="Verdana"/>
          <w:sz w:val="22"/>
          <w:szCs w:val="22"/>
        </w:rPr>
        <w:t xml:space="preserve"> </w:t>
      </w:r>
      <w:r w:rsidR="00682C4B" w:rsidRPr="00682C4B">
        <w:rPr>
          <w:rFonts w:ascii="Verdana" w:hAnsi="Verdana"/>
          <w:sz w:val="22"/>
          <w:szCs w:val="22"/>
          <w:lang w:val="lt-LT"/>
        </w:rPr>
        <w:t>„</w:t>
      </w:r>
      <w:r w:rsidR="00682C4B" w:rsidRPr="00E059B1">
        <w:rPr>
          <w:rFonts w:ascii="Verdana" w:hAnsi="Verdana"/>
          <w:b/>
          <w:sz w:val="22"/>
          <w:szCs w:val="22"/>
          <w:lang w:val="lt-LT"/>
        </w:rPr>
        <w:t>Statistika registruotiems vartotojams (nauja)</w:t>
      </w:r>
      <w:r w:rsidR="00682C4B" w:rsidRPr="00682C4B">
        <w:rPr>
          <w:rFonts w:ascii="Verdana" w:hAnsi="Verdana"/>
          <w:sz w:val="22"/>
          <w:szCs w:val="22"/>
          <w:lang w:val="lt-LT"/>
        </w:rPr>
        <w:t xml:space="preserve">“. Toliau svetainės viršuje dešinėje spauskite </w:t>
      </w:r>
      <w:r w:rsidR="00682C4B" w:rsidRPr="00682C4B">
        <w:rPr>
          <w:rFonts w:ascii="Verdana" w:hAnsi="Verdana"/>
          <w:noProof/>
          <w:sz w:val="22"/>
          <w:szCs w:val="22"/>
          <w:lang w:val="lt-LT"/>
        </w:rPr>
        <w:drawing>
          <wp:inline distT="0" distB="0" distL="0" distR="0" wp14:anchorId="0AD7C37F" wp14:editId="1273A712">
            <wp:extent cx="216462" cy="21021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288" cy="233354"/>
                    </a:xfrm>
                    <a:prstGeom prst="rect">
                      <a:avLst/>
                    </a:prstGeom>
                  </pic:spPr>
                </pic:pic>
              </a:graphicData>
            </a:graphic>
          </wp:inline>
        </w:drawing>
      </w:r>
      <w:r w:rsidR="00682C4B" w:rsidRPr="00682C4B">
        <w:rPr>
          <w:rFonts w:ascii="Verdana" w:hAnsi="Verdana"/>
          <w:sz w:val="22"/>
          <w:szCs w:val="22"/>
          <w:lang w:val="lt-LT"/>
        </w:rPr>
        <w:t xml:space="preserve">  ir įveskite savo naudotojo vardą ir slaptažodį.</w:t>
      </w:r>
    </w:p>
    <w:p w14:paraId="511F8390" w14:textId="77777777" w:rsidR="000D4E1F" w:rsidRPr="00682C4B" w:rsidRDefault="000D4E1F" w:rsidP="000D4E1F">
      <w:pPr>
        <w:numPr>
          <w:ilvl w:val="0"/>
          <w:numId w:val="3"/>
        </w:numPr>
        <w:tabs>
          <w:tab w:val="num" w:pos="851"/>
        </w:tabs>
        <w:ind w:left="397" w:hanging="397"/>
        <w:jc w:val="both"/>
        <w:rPr>
          <w:rFonts w:ascii="Verdana" w:eastAsia="Calibri" w:hAnsi="Verdana"/>
          <w:sz w:val="22"/>
          <w:szCs w:val="22"/>
        </w:rPr>
      </w:pPr>
      <w:proofErr w:type="spellStart"/>
      <w:r w:rsidRPr="00682C4B">
        <w:rPr>
          <w:rFonts w:ascii="Verdana" w:eastAsia="Calibri" w:hAnsi="Verdana"/>
          <w:sz w:val="22"/>
          <w:szCs w:val="22"/>
        </w:rPr>
        <w:t>Norėdami</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užpildyti</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statistinius</w:t>
      </w:r>
      <w:proofErr w:type="spellEnd"/>
      <w:r w:rsidRPr="00682C4B">
        <w:rPr>
          <w:rFonts w:ascii="Verdana" w:eastAsia="Calibri" w:hAnsi="Verdana"/>
          <w:sz w:val="22"/>
          <w:szCs w:val="22"/>
        </w:rPr>
        <w:t xml:space="preserve"> 3 ES-</w:t>
      </w:r>
      <w:proofErr w:type="spellStart"/>
      <w:r w:rsidRPr="00682C4B">
        <w:rPr>
          <w:rFonts w:ascii="Verdana" w:eastAsia="Calibri" w:hAnsi="Verdana"/>
          <w:sz w:val="22"/>
          <w:szCs w:val="22"/>
        </w:rPr>
        <w:t>mokykla</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duomenis</w:t>
      </w:r>
      <w:proofErr w:type="spellEnd"/>
      <w:r w:rsidRPr="00682C4B">
        <w:rPr>
          <w:rFonts w:ascii="Verdana" w:eastAsia="Calibri" w:hAnsi="Verdana"/>
          <w:sz w:val="22"/>
          <w:szCs w:val="22"/>
        </w:rPr>
        <w:t>:</w:t>
      </w:r>
    </w:p>
    <w:p w14:paraId="41071A35" w14:textId="65908A57" w:rsidR="000D4E1F" w:rsidRPr="00682C4B" w:rsidRDefault="000A6503" w:rsidP="00BF2E04">
      <w:pPr>
        <w:numPr>
          <w:ilvl w:val="1"/>
          <w:numId w:val="3"/>
        </w:numPr>
        <w:jc w:val="both"/>
        <w:rPr>
          <w:rFonts w:ascii="Verdana" w:eastAsia="Calibri" w:hAnsi="Verdana"/>
          <w:sz w:val="22"/>
          <w:szCs w:val="22"/>
        </w:rPr>
      </w:pPr>
      <w:proofErr w:type="spellStart"/>
      <w:r w:rsidRPr="000A6503">
        <w:rPr>
          <w:rFonts w:ascii="Verdana" w:eastAsia="Calibri" w:hAnsi="Verdana"/>
          <w:sz w:val="22"/>
          <w:szCs w:val="22"/>
        </w:rPr>
        <w:t>Kairėje</w:t>
      </w:r>
      <w:proofErr w:type="spellEnd"/>
      <w:r w:rsidRPr="000A6503">
        <w:rPr>
          <w:rFonts w:ascii="Verdana" w:eastAsia="Calibri" w:hAnsi="Verdana"/>
          <w:sz w:val="22"/>
          <w:szCs w:val="22"/>
        </w:rPr>
        <w:t xml:space="preserve"> </w:t>
      </w:r>
      <w:proofErr w:type="spellStart"/>
      <w:r w:rsidRPr="000A6503">
        <w:rPr>
          <w:rFonts w:ascii="Verdana" w:eastAsia="Calibri" w:hAnsi="Verdana"/>
          <w:sz w:val="22"/>
          <w:szCs w:val="22"/>
        </w:rPr>
        <w:t>pusėje</w:t>
      </w:r>
      <w:proofErr w:type="spellEnd"/>
      <w:r w:rsidRPr="000A6503">
        <w:rPr>
          <w:rFonts w:ascii="Verdana" w:eastAsia="Calibri" w:hAnsi="Verdana"/>
          <w:sz w:val="22"/>
          <w:szCs w:val="22"/>
        </w:rPr>
        <w:t xml:space="preserve"> </w:t>
      </w:r>
      <w:proofErr w:type="spellStart"/>
      <w:r w:rsidR="000D4E1F" w:rsidRPr="00682C4B">
        <w:rPr>
          <w:rFonts w:ascii="Verdana" w:eastAsia="Calibri" w:hAnsi="Verdana"/>
          <w:sz w:val="22"/>
          <w:szCs w:val="22"/>
        </w:rPr>
        <w:t>pasirinkite</w:t>
      </w:r>
      <w:proofErr w:type="spellEnd"/>
      <w:r w:rsidR="000D4E1F" w:rsidRPr="00682C4B">
        <w:rPr>
          <w:rFonts w:ascii="Verdana" w:eastAsia="Calibri" w:hAnsi="Verdana"/>
          <w:sz w:val="22"/>
          <w:szCs w:val="22"/>
        </w:rPr>
        <w:t xml:space="preserve"> </w:t>
      </w:r>
      <w:proofErr w:type="spellStart"/>
      <w:r w:rsidR="000D4E1F" w:rsidRPr="00682C4B">
        <w:rPr>
          <w:rFonts w:ascii="Verdana" w:eastAsia="Calibri" w:hAnsi="Verdana"/>
          <w:sz w:val="22"/>
          <w:szCs w:val="22"/>
        </w:rPr>
        <w:t>skiltį</w:t>
      </w:r>
      <w:proofErr w:type="spellEnd"/>
      <w:r w:rsidR="000D4E1F" w:rsidRPr="00682C4B">
        <w:rPr>
          <w:rFonts w:ascii="Verdana" w:eastAsia="Calibri" w:hAnsi="Verdana"/>
          <w:sz w:val="22"/>
          <w:szCs w:val="22"/>
        </w:rPr>
        <w:t xml:space="preserve"> </w:t>
      </w:r>
      <w:r w:rsidR="00682C4B" w:rsidRPr="00682C4B">
        <w:rPr>
          <w:rFonts w:ascii="Verdana" w:hAnsi="Verdana"/>
          <w:noProof/>
          <w:sz w:val="22"/>
          <w:szCs w:val="22"/>
          <w:lang w:val="lt-LT"/>
        </w:rPr>
        <w:drawing>
          <wp:inline distT="0" distB="0" distL="0" distR="0" wp14:anchorId="462913BB" wp14:editId="531DD34D">
            <wp:extent cx="214193" cy="224155"/>
            <wp:effectExtent l="0" t="0" r="0" b="444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226919" cy="237473"/>
                    </a:xfrm>
                    <a:prstGeom prst="rect">
                      <a:avLst/>
                    </a:prstGeom>
                  </pic:spPr>
                </pic:pic>
              </a:graphicData>
            </a:graphic>
          </wp:inline>
        </w:drawing>
      </w:r>
      <w:r w:rsidR="00682C4B" w:rsidRPr="00682C4B">
        <w:rPr>
          <w:rFonts w:ascii="Verdana" w:eastAsia="Calibri" w:hAnsi="Verdana"/>
          <w:sz w:val="22"/>
          <w:szCs w:val="22"/>
        </w:rPr>
        <w:t xml:space="preserve"> </w:t>
      </w:r>
      <w:proofErr w:type="spellStart"/>
      <w:r w:rsidR="00BF2E04" w:rsidRPr="00BF2E04">
        <w:rPr>
          <w:rFonts w:ascii="Verdana" w:eastAsia="Calibri" w:hAnsi="Verdana"/>
          <w:b/>
          <w:sz w:val="22"/>
          <w:szCs w:val="22"/>
        </w:rPr>
        <w:t>Duomenų</w:t>
      </w:r>
      <w:proofErr w:type="spellEnd"/>
      <w:r w:rsidR="00BF2E04" w:rsidRPr="00BF2E04">
        <w:rPr>
          <w:rFonts w:ascii="Verdana" w:eastAsia="Calibri" w:hAnsi="Verdana"/>
          <w:b/>
          <w:sz w:val="22"/>
          <w:szCs w:val="22"/>
        </w:rPr>
        <w:t xml:space="preserve"> </w:t>
      </w:r>
      <w:proofErr w:type="spellStart"/>
      <w:r w:rsidR="00BF2E04" w:rsidRPr="00BF2E04">
        <w:rPr>
          <w:rFonts w:ascii="Verdana" w:eastAsia="Calibri" w:hAnsi="Verdana"/>
          <w:b/>
          <w:sz w:val="22"/>
          <w:szCs w:val="22"/>
        </w:rPr>
        <w:t>teikimas</w:t>
      </w:r>
      <w:proofErr w:type="spellEnd"/>
      <w:r w:rsidR="00BF2E04" w:rsidRPr="00BF2E04">
        <w:rPr>
          <w:rFonts w:ascii="Verdana" w:eastAsia="Calibri" w:hAnsi="Verdana"/>
          <w:sz w:val="22"/>
          <w:szCs w:val="22"/>
        </w:rPr>
        <w:t xml:space="preserve"> </w:t>
      </w:r>
      <w:r w:rsidR="00682C4B" w:rsidRPr="009234C8">
        <w:rPr>
          <w:rFonts w:ascii="Verdana" w:eastAsia="Calibri" w:hAnsi="Verdana"/>
          <w:bCs/>
          <w:sz w:val="22"/>
          <w:szCs w:val="22"/>
          <w:lang w:val="lt-LT"/>
        </w:rPr>
        <w:t>(užtrunka, reikia palaukti)</w:t>
      </w:r>
      <w:r w:rsidR="000D4E1F" w:rsidRPr="00682C4B">
        <w:rPr>
          <w:rFonts w:ascii="Verdana" w:eastAsia="Calibri" w:hAnsi="Verdana"/>
          <w:sz w:val="22"/>
          <w:szCs w:val="22"/>
        </w:rPr>
        <w:t>;</w:t>
      </w:r>
    </w:p>
    <w:p w14:paraId="48853680" w14:textId="77777777" w:rsidR="000D4E1F" w:rsidRPr="00682C4B" w:rsidRDefault="000D4E1F" w:rsidP="000D4E1F">
      <w:pPr>
        <w:numPr>
          <w:ilvl w:val="1"/>
          <w:numId w:val="3"/>
        </w:numPr>
        <w:jc w:val="both"/>
        <w:rPr>
          <w:rFonts w:ascii="Verdana" w:eastAsia="Calibri" w:hAnsi="Verdana"/>
          <w:sz w:val="22"/>
          <w:szCs w:val="22"/>
        </w:rPr>
      </w:pPr>
      <w:proofErr w:type="spellStart"/>
      <w:r w:rsidRPr="00682C4B">
        <w:rPr>
          <w:rFonts w:ascii="Verdana" w:eastAsia="Calibri" w:hAnsi="Verdana"/>
          <w:sz w:val="22"/>
          <w:szCs w:val="22"/>
        </w:rPr>
        <w:t>Jeigu</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esate</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tik</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institucijos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pildytojas</w:t>
      </w:r>
      <w:proofErr w:type="spellEnd"/>
      <w:r w:rsidRPr="00682C4B">
        <w:rPr>
          <w:rFonts w:ascii="Verdana" w:eastAsia="Calibri" w:hAnsi="Verdana"/>
          <w:sz w:val="22"/>
          <w:szCs w:val="22"/>
        </w:rPr>
        <w:t>:</w:t>
      </w:r>
    </w:p>
    <w:p w14:paraId="39889EC6" w14:textId="77777777" w:rsidR="000D4E1F" w:rsidRPr="00682C4B" w:rsidRDefault="000D4E1F" w:rsidP="000D4E1F">
      <w:pPr>
        <w:numPr>
          <w:ilvl w:val="2"/>
          <w:numId w:val="3"/>
        </w:numPr>
        <w:jc w:val="both"/>
        <w:rPr>
          <w:rFonts w:ascii="Verdana" w:eastAsia="Calibri" w:hAnsi="Verdana"/>
          <w:sz w:val="22"/>
          <w:szCs w:val="22"/>
        </w:rPr>
      </w:pPr>
      <w:proofErr w:type="spellStart"/>
      <w:r w:rsidRPr="00682C4B">
        <w:rPr>
          <w:rFonts w:ascii="Verdana" w:eastAsia="Calibri" w:hAnsi="Verdana"/>
          <w:sz w:val="22"/>
          <w:szCs w:val="22"/>
        </w:rPr>
        <w:t>Skiltyje</w:t>
      </w:r>
      <w:proofErr w:type="spellEnd"/>
      <w:r w:rsidRPr="00682C4B">
        <w:rPr>
          <w:rFonts w:ascii="Verdana" w:eastAsia="Calibri" w:hAnsi="Verdana"/>
          <w:sz w:val="22"/>
          <w:szCs w:val="22"/>
        </w:rPr>
        <w:t xml:space="preserve"> „</w:t>
      </w:r>
      <w:proofErr w:type="spellStart"/>
      <w:r w:rsidRPr="00682C4B">
        <w:rPr>
          <w:rFonts w:ascii="Verdana" w:eastAsia="Calibri" w:hAnsi="Verdana"/>
          <w:b/>
          <w:sz w:val="22"/>
          <w:szCs w:val="22"/>
        </w:rPr>
        <w:t>Jūs</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turite</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užpildyti</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šias</w:t>
      </w:r>
      <w:proofErr w:type="spellEnd"/>
      <w:r w:rsidRPr="00682C4B">
        <w:rPr>
          <w:rFonts w:ascii="Verdana" w:eastAsia="Calibri" w:hAnsi="Verdana"/>
          <w:b/>
          <w:sz w:val="22"/>
          <w:szCs w:val="22"/>
        </w:rPr>
        <w:t xml:space="preserve"> </w:t>
      </w:r>
      <w:proofErr w:type="spellStart"/>
      <w:proofErr w:type="gramStart"/>
      <w:r w:rsidRPr="00682C4B">
        <w:rPr>
          <w:rFonts w:ascii="Verdana" w:eastAsia="Calibri" w:hAnsi="Verdana"/>
          <w:b/>
          <w:sz w:val="22"/>
          <w:szCs w:val="22"/>
        </w:rPr>
        <w:t>formas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matysite</w:t>
      </w:r>
      <w:proofErr w:type="spellEnd"/>
      <w:proofErr w:type="gramEnd"/>
      <w:r w:rsidRPr="00682C4B">
        <w:rPr>
          <w:rFonts w:ascii="Verdana" w:eastAsia="Calibri" w:hAnsi="Verdana"/>
          <w:sz w:val="22"/>
          <w:szCs w:val="22"/>
        </w:rPr>
        <w:t xml:space="preserve"> </w:t>
      </w:r>
      <w:proofErr w:type="spellStart"/>
      <w:r w:rsidRPr="00682C4B">
        <w:rPr>
          <w:rFonts w:ascii="Verdana" w:eastAsia="Calibri" w:hAnsi="Verdana"/>
          <w:sz w:val="22"/>
          <w:szCs w:val="22"/>
        </w:rPr>
        <w:t>nuorodas</w:t>
      </w:r>
      <w:proofErr w:type="spellEnd"/>
      <w:r w:rsidRPr="00682C4B">
        <w:rPr>
          <w:rFonts w:ascii="Verdana" w:eastAsia="Calibri" w:hAnsi="Verdana"/>
          <w:sz w:val="22"/>
          <w:szCs w:val="22"/>
        </w:rPr>
        <w:t xml:space="preserve"> į </w:t>
      </w:r>
      <w:proofErr w:type="spellStart"/>
      <w:r w:rsidRPr="00682C4B">
        <w:rPr>
          <w:rFonts w:ascii="Verdana" w:eastAsia="Calibri" w:hAnsi="Verdana"/>
          <w:sz w:val="22"/>
          <w:szCs w:val="22"/>
        </w:rPr>
        <w:t>statistikos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sąrašus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kuriuos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reikia</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užpildyti</w:t>
      </w:r>
      <w:proofErr w:type="spellEnd"/>
      <w:r w:rsidRPr="00682C4B">
        <w:rPr>
          <w:rFonts w:ascii="Verdana" w:eastAsia="Calibri" w:hAnsi="Verdana"/>
          <w:sz w:val="22"/>
          <w:szCs w:val="22"/>
        </w:rPr>
        <w:t>;</w:t>
      </w:r>
    </w:p>
    <w:p w14:paraId="493FD657" w14:textId="77777777" w:rsidR="000D4E1F" w:rsidRPr="00682C4B" w:rsidRDefault="000D4E1F" w:rsidP="000D4E1F">
      <w:pPr>
        <w:numPr>
          <w:ilvl w:val="2"/>
          <w:numId w:val="3"/>
        </w:numPr>
        <w:jc w:val="both"/>
        <w:rPr>
          <w:rFonts w:ascii="Verdana" w:eastAsia="Calibri" w:hAnsi="Verdana"/>
          <w:sz w:val="22"/>
          <w:szCs w:val="22"/>
        </w:rPr>
      </w:pPr>
      <w:proofErr w:type="spellStart"/>
      <w:r w:rsidRPr="00682C4B">
        <w:rPr>
          <w:rFonts w:ascii="Verdana" w:eastAsia="Calibri" w:hAnsi="Verdana"/>
          <w:sz w:val="22"/>
          <w:szCs w:val="22"/>
        </w:rPr>
        <w:t>Užpildę</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atitinkamus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sąrašus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paspauskite</w:t>
      </w:r>
      <w:proofErr w:type="spellEnd"/>
      <w:r w:rsidRPr="00682C4B">
        <w:rPr>
          <w:rFonts w:ascii="Verdana" w:eastAsia="Calibri" w:hAnsi="Verdana"/>
          <w:sz w:val="22"/>
          <w:szCs w:val="22"/>
        </w:rPr>
        <w:t xml:space="preserve"> „</w:t>
      </w:r>
      <w:proofErr w:type="spellStart"/>
      <w:proofErr w:type="gramStart"/>
      <w:r w:rsidRPr="00682C4B">
        <w:rPr>
          <w:rFonts w:ascii="Verdana" w:eastAsia="Calibri" w:hAnsi="Verdana"/>
          <w:b/>
          <w:sz w:val="22"/>
          <w:szCs w:val="22"/>
        </w:rPr>
        <w:t>Išsaugoti</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ir</w:t>
      </w:r>
      <w:proofErr w:type="spellEnd"/>
      <w:proofErr w:type="gramEnd"/>
      <w:r w:rsidRPr="00682C4B">
        <w:rPr>
          <w:rFonts w:ascii="Verdana" w:eastAsia="Calibri" w:hAnsi="Verdana"/>
          <w:sz w:val="22"/>
          <w:szCs w:val="22"/>
        </w:rPr>
        <w:t xml:space="preserve"> „</w:t>
      </w:r>
      <w:proofErr w:type="spellStart"/>
      <w:r w:rsidRPr="00682C4B">
        <w:rPr>
          <w:rFonts w:ascii="Verdana" w:eastAsia="Calibri" w:hAnsi="Verdana"/>
          <w:b/>
          <w:sz w:val="22"/>
          <w:szCs w:val="22"/>
        </w:rPr>
        <w:t>Teikti</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tvirtinimui</w:t>
      </w:r>
      <w:proofErr w:type="spellEnd"/>
      <w:r w:rsidRPr="00682C4B">
        <w:rPr>
          <w:rFonts w:ascii="Verdana" w:eastAsia="Calibri" w:hAnsi="Verdana"/>
          <w:sz w:val="22"/>
          <w:szCs w:val="22"/>
        </w:rPr>
        <w:t>“.</w:t>
      </w:r>
    </w:p>
    <w:p w14:paraId="310E9B3A" w14:textId="77777777" w:rsidR="000D4E1F" w:rsidRPr="00682C4B" w:rsidRDefault="000D4E1F" w:rsidP="000D4E1F">
      <w:pPr>
        <w:numPr>
          <w:ilvl w:val="1"/>
          <w:numId w:val="3"/>
        </w:numPr>
        <w:jc w:val="both"/>
        <w:rPr>
          <w:rFonts w:ascii="Verdana" w:eastAsia="Calibri" w:hAnsi="Verdana"/>
          <w:sz w:val="22"/>
          <w:szCs w:val="22"/>
        </w:rPr>
      </w:pPr>
      <w:proofErr w:type="spellStart"/>
      <w:r w:rsidRPr="00682C4B">
        <w:rPr>
          <w:rFonts w:ascii="Verdana" w:eastAsia="Calibri" w:hAnsi="Verdana"/>
          <w:sz w:val="22"/>
          <w:szCs w:val="22"/>
        </w:rPr>
        <w:t>Jeigu</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esate</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tik</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institucijos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tvirtintojas</w:t>
      </w:r>
      <w:proofErr w:type="spellEnd"/>
      <w:r w:rsidRPr="00682C4B">
        <w:rPr>
          <w:rFonts w:ascii="Verdana" w:eastAsia="Calibri" w:hAnsi="Verdana"/>
          <w:sz w:val="22"/>
          <w:szCs w:val="22"/>
        </w:rPr>
        <w:t>:</w:t>
      </w:r>
    </w:p>
    <w:p w14:paraId="1865CED3" w14:textId="77777777" w:rsidR="000D4E1F" w:rsidRPr="00682C4B" w:rsidRDefault="000D4E1F" w:rsidP="000D4E1F">
      <w:pPr>
        <w:numPr>
          <w:ilvl w:val="2"/>
          <w:numId w:val="3"/>
        </w:numPr>
        <w:jc w:val="both"/>
        <w:rPr>
          <w:rFonts w:ascii="Verdana" w:eastAsia="Calibri" w:hAnsi="Verdana"/>
          <w:sz w:val="22"/>
          <w:szCs w:val="22"/>
        </w:rPr>
      </w:pPr>
      <w:proofErr w:type="spellStart"/>
      <w:r w:rsidRPr="00682C4B">
        <w:rPr>
          <w:rFonts w:ascii="Verdana" w:eastAsia="Calibri" w:hAnsi="Verdana"/>
          <w:sz w:val="22"/>
          <w:szCs w:val="22"/>
        </w:rPr>
        <w:t>Skiltyje</w:t>
      </w:r>
      <w:proofErr w:type="spellEnd"/>
      <w:r w:rsidRPr="00682C4B">
        <w:rPr>
          <w:rFonts w:ascii="Verdana" w:eastAsia="Calibri" w:hAnsi="Verdana"/>
          <w:sz w:val="22"/>
          <w:szCs w:val="22"/>
        </w:rPr>
        <w:t xml:space="preserve"> „</w:t>
      </w:r>
      <w:proofErr w:type="spellStart"/>
      <w:r w:rsidRPr="00682C4B">
        <w:rPr>
          <w:rFonts w:ascii="Verdana" w:eastAsia="Calibri" w:hAnsi="Verdana"/>
          <w:b/>
          <w:sz w:val="22"/>
          <w:szCs w:val="22"/>
        </w:rPr>
        <w:t>Jūs</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turite</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patvirtinti</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šias</w:t>
      </w:r>
      <w:proofErr w:type="spellEnd"/>
      <w:r w:rsidRPr="00682C4B">
        <w:rPr>
          <w:rFonts w:ascii="Verdana" w:eastAsia="Calibri" w:hAnsi="Verdana"/>
          <w:b/>
          <w:sz w:val="22"/>
          <w:szCs w:val="22"/>
        </w:rPr>
        <w:t xml:space="preserve"> </w:t>
      </w:r>
      <w:proofErr w:type="spellStart"/>
      <w:proofErr w:type="gramStart"/>
      <w:r w:rsidRPr="00682C4B">
        <w:rPr>
          <w:rFonts w:ascii="Verdana" w:eastAsia="Calibri" w:hAnsi="Verdana"/>
          <w:b/>
          <w:sz w:val="22"/>
          <w:szCs w:val="22"/>
        </w:rPr>
        <w:t>formas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matysite</w:t>
      </w:r>
      <w:proofErr w:type="spellEnd"/>
      <w:proofErr w:type="gramEnd"/>
      <w:r w:rsidRPr="00682C4B">
        <w:rPr>
          <w:rFonts w:ascii="Verdana" w:eastAsia="Calibri" w:hAnsi="Verdana"/>
          <w:sz w:val="22"/>
          <w:szCs w:val="22"/>
        </w:rPr>
        <w:t xml:space="preserve"> </w:t>
      </w:r>
      <w:proofErr w:type="spellStart"/>
      <w:r w:rsidRPr="00682C4B">
        <w:rPr>
          <w:rFonts w:ascii="Verdana" w:eastAsia="Calibri" w:hAnsi="Verdana"/>
          <w:sz w:val="22"/>
          <w:szCs w:val="22"/>
        </w:rPr>
        <w:t>nuorodas</w:t>
      </w:r>
      <w:proofErr w:type="spellEnd"/>
      <w:r w:rsidRPr="00682C4B">
        <w:rPr>
          <w:rFonts w:ascii="Verdana" w:eastAsia="Calibri" w:hAnsi="Verdana"/>
          <w:sz w:val="22"/>
          <w:szCs w:val="22"/>
        </w:rPr>
        <w:t xml:space="preserve"> į </w:t>
      </w:r>
      <w:proofErr w:type="spellStart"/>
      <w:r w:rsidRPr="00682C4B">
        <w:rPr>
          <w:rFonts w:ascii="Verdana" w:eastAsia="Calibri" w:hAnsi="Verdana"/>
          <w:sz w:val="22"/>
          <w:szCs w:val="22"/>
        </w:rPr>
        <w:t>statistikos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sąrašus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kurių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duomenis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pildytojas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jau</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pateikė</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tvirtinimui</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ir</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kuriuos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reikia</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patvirtinti</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Nuorodos</w:t>
      </w:r>
      <w:proofErr w:type="spellEnd"/>
      <w:r w:rsidRPr="00682C4B">
        <w:rPr>
          <w:rFonts w:ascii="Verdana" w:eastAsia="Calibri" w:hAnsi="Verdana"/>
          <w:sz w:val="22"/>
          <w:szCs w:val="22"/>
        </w:rPr>
        <w:t xml:space="preserve"> bus </w:t>
      </w:r>
      <w:proofErr w:type="spellStart"/>
      <w:r w:rsidRPr="00682C4B">
        <w:rPr>
          <w:rFonts w:ascii="Verdana" w:eastAsia="Calibri" w:hAnsi="Verdana"/>
          <w:sz w:val="22"/>
          <w:szCs w:val="22"/>
        </w:rPr>
        <w:t>matomos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tik</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tada</w:t>
      </w:r>
      <w:proofErr w:type="spellEnd"/>
      <w:r w:rsidRPr="00682C4B">
        <w:rPr>
          <w:rFonts w:ascii="Verdana" w:eastAsia="Calibri" w:hAnsi="Verdana"/>
          <w:sz w:val="22"/>
          <w:szCs w:val="22"/>
        </w:rPr>
        <w:t xml:space="preserve">, kai </w:t>
      </w:r>
      <w:proofErr w:type="spellStart"/>
      <w:r w:rsidRPr="00682C4B">
        <w:rPr>
          <w:rFonts w:ascii="Verdana" w:eastAsia="Calibri" w:hAnsi="Verdana"/>
          <w:sz w:val="22"/>
          <w:szCs w:val="22"/>
        </w:rPr>
        <w:t>pildytojas</w:t>
      </w:r>
      <w:proofErr w:type="spellEnd"/>
      <w:r w:rsidRPr="00682C4B">
        <w:rPr>
          <w:rFonts w:ascii="Verdana" w:eastAsia="Calibri" w:hAnsi="Verdana"/>
          <w:sz w:val="22"/>
          <w:szCs w:val="22"/>
        </w:rPr>
        <w:t xml:space="preserve"> bus </w:t>
      </w:r>
      <w:proofErr w:type="spellStart"/>
      <w:r w:rsidRPr="00682C4B">
        <w:rPr>
          <w:rFonts w:ascii="Verdana" w:eastAsia="Calibri" w:hAnsi="Verdana"/>
          <w:sz w:val="22"/>
          <w:szCs w:val="22"/>
        </w:rPr>
        <w:t>paspaudęs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mygtuką</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Teikti</w:t>
      </w:r>
      <w:proofErr w:type="spellEnd"/>
      <w:r w:rsidRPr="00682C4B">
        <w:rPr>
          <w:rFonts w:ascii="Verdana" w:eastAsia="Calibri" w:hAnsi="Verdana"/>
          <w:sz w:val="22"/>
          <w:szCs w:val="22"/>
        </w:rPr>
        <w:t xml:space="preserve"> </w:t>
      </w:r>
      <w:proofErr w:type="spellStart"/>
      <w:proofErr w:type="gramStart"/>
      <w:r w:rsidRPr="00682C4B">
        <w:rPr>
          <w:rFonts w:ascii="Verdana" w:eastAsia="Calibri" w:hAnsi="Verdana"/>
          <w:sz w:val="22"/>
          <w:szCs w:val="22"/>
        </w:rPr>
        <w:t>tvirtinimui</w:t>
      </w:r>
      <w:proofErr w:type="spellEnd"/>
      <w:r w:rsidRPr="00682C4B">
        <w:rPr>
          <w:rFonts w:ascii="Verdana" w:eastAsia="Calibri" w:hAnsi="Verdana"/>
          <w:sz w:val="22"/>
          <w:szCs w:val="22"/>
        </w:rPr>
        <w:t>“</w:t>
      </w:r>
      <w:proofErr w:type="gramEnd"/>
      <w:r w:rsidRPr="00682C4B">
        <w:rPr>
          <w:rFonts w:ascii="Verdana" w:eastAsia="Calibri" w:hAnsi="Verdana"/>
          <w:sz w:val="22"/>
          <w:szCs w:val="22"/>
        </w:rPr>
        <w:t>.</w:t>
      </w:r>
    </w:p>
    <w:p w14:paraId="14BC2476" w14:textId="77777777" w:rsidR="000D4E1F" w:rsidRPr="00682C4B" w:rsidRDefault="000D4E1F" w:rsidP="000D4E1F">
      <w:pPr>
        <w:numPr>
          <w:ilvl w:val="1"/>
          <w:numId w:val="3"/>
        </w:numPr>
        <w:jc w:val="both"/>
        <w:rPr>
          <w:rFonts w:ascii="Verdana" w:eastAsia="Calibri" w:hAnsi="Verdana"/>
          <w:sz w:val="22"/>
          <w:szCs w:val="22"/>
        </w:rPr>
      </w:pPr>
      <w:proofErr w:type="spellStart"/>
      <w:r w:rsidRPr="00682C4B">
        <w:rPr>
          <w:rFonts w:ascii="Verdana" w:eastAsia="Calibri" w:hAnsi="Verdana"/>
          <w:sz w:val="22"/>
          <w:szCs w:val="22"/>
        </w:rPr>
        <w:t>Jeigu</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institucijoje</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esate</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ir</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pildytojas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ir</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tvirtintojas</w:t>
      </w:r>
      <w:proofErr w:type="spellEnd"/>
      <w:r w:rsidRPr="00682C4B">
        <w:rPr>
          <w:rFonts w:ascii="Verdana" w:eastAsia="Calibri" w:hAnsi="Verdana"/>
          <w:sz w:val="22"/>
          <w:szCs w:val="22"/>
        </w:rPr>
        <w:t>:</w:t>
      </w:r>
    </w:p>
    <w:p w14:paraId="10CF7200" w14:textId="77777777" w:rsidR="000D4E1F" w:rsidRPr="00682C4B" w:rsidRDefault="000D4E1F" w:rsidP="000D4E1F">
      <w:pPr>
        <w:numPr>
          <w:ilvl w:val="2"/>
          <w:numId w:val="3"/>
        </w:numPr>
        <w:jc w:val="both"/>
        <w:rPr>
          <w:rFonts w:ascii="Verdana" w:eastAsia="Calibri" w:hAnsi="Verdana"/>
          <w:sz w:val="22"/>
          <w:szCs w:val="22"/>
        </w:rPr>
      </w:pPr>
      <w:r w:rsidRPr="00682C4B">
        <w:rPr>
          <w:rFonts w:ascii="Verdana" w:eastAsia="Calibri" w:hAnsi="Verdana"/>
          <w:sz w:val="22"/>
          <w:szCs w:val="22"/>
        </w:rPr>
        <w:t xml:space="preserve"> </w:t>
      </w:r>
      <w:proofErr w:type="spellStart"/>
      <w:r w:rsidRPr="00682C4B">
        <w:rPr>
          <w:rFonts w:ascii="Verdana" w:eastAsia="Calibri" w:hAnsi="Verdana"/>
          <w:sz w:val="22"/>
          <w:szCs w:val="22"/>
        </w:rPr>
        <w:t>Skiltyje</w:t>
      </w:r>
      <w:proofErr w:type="spellEnd"/>
      <w:r w:rsidRPr="00682C4B">
        <w:rPr>
          <w:rFonts w:ascii="Verdana" w:eastAsia="Calibri" w:hAnsi="Verdana"/>
          <w:sz w:val="22"/>
          <w:szCs w:val="22"/>
        </w:rPr>
        <w:t xml:space="preserve"> „</w:t>
      </w:r>
      <w:proofErr w:type="spellStart"/>
      <w:r w:rsidRPr="00682C4B">
        <w:rPr>
          <w:rFonts w:ascii="Verdana" w:eastAsia="Calibri" w:hAnsi="Verdana"/>
          <w:b/>
          <w:sz w:val="22"/>
          <w:szCs w:val="22"/>
        </w:rPr>
        <w:t>Jūs</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turite</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užpildyti</w:t>
      </w:r>
      <w:proofErr w:type="spellEnd"/>
      <w:r w:rsidRPr="00682C4B">
        <w:rPr>
          <w:rFonts w:ascii="Verdana" w:eastAsia="Calibri" w:hAnsi="Verdana"/>
          <w:b/>
          <w:sz w:val="22"/>
          <w:szCs w:val="22"/>
        </w:rPr>
        <w:t xml:space="preserve"> </w:t>
      </w:r>
      <w:proofErr w:type="spellStart"/>
      <w:r w:rsidRPr="00682C4B">
        <w:rPr>
          <w:rFonts w:ascii="Verdana" w:eastAsia="Calibri" w:hAnsi="Verdana"/>
          <w:b/>
          <w:sz w:val="22"/>
          <w:szCs w:val="22"/>
        </w:rPr>
        <w:t>šias</w:t>
      </w:r>
      <w:proofErr w:type="spellEnd"/>
      <w:r w:rsidRPr="00682C4B">
        <w:rPr>
          <w:rFonts w:ascii="Verdana" w:eastAsia="Calibri" w:hAnsi="Verdana"/>
          <w:b/>
          <w:sz w:val="22"/>
          <w:szCs w:val="22"/>
        </w:rPr>
        <w:t xml:space="preserve"> </w:t>
      </w:r>
      <w:proofErr w:type="spellStart"/>
      <w:proofErr w:type="gramStart"/>
      <w:r w:rsidRPr="00682C4B">
        <w:rPr>
          <w:rFonts w:ascii="Verdana" w:eastAsia="Calibri" w:hAnsi="Verdana"/>
          <w:b/>
          <w:sz w:val="22"/>
          <w:szCs w:val="22"/>
        </w:rPr>
        <w:t>formas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matysite</w:t>
      </w:r>
      <w:proofErr w:type="spellEnd"/>
      <w:proofErr w:type="gramEnd"/>
      <w:r w:rsidRPr="00682C4B">
        <w:rPr>
          <w:rFonts w:ascii="Verdana" w:eastAsia="Calibri" w:hAnsi="Verdana"/>
          <w:sz w:val="22"/>
          <w:szCs w:val="22"/>
        </w:rPr>
        <w:t xml:space="preserve"> </w:t>
      </w:r>
      <w:proofErr w:type="spellStart"/>
      <w:r w:rsidRPr="00682C4B">
        <w:rPr>
          <w:rFonts w:ascii="Verdana" w:eastAsia="Calibri" w:hAnsi="Verdana"/>
          <w:sz w:val="22"/>
          <w:szCs w:val="22"/>
        </w:rPr>
        <w:t>nuorodas</w:t>
      </w:r>
      <w:proofErr w:type="spellEnd"/>
      <w:r w:rsidRPr="00682C4B">
        <w:rPr>
          <w:rFonts w:ascii="Verdana" w:eastAsia="Calibri" w:hAnsi="Verdana"/>
          <w:sz w:val="22"/>
          <w:szCs w:val="22"/>
        </w:rPr>
        <w:t xml:space="preserve"> į </w:t>
      </w:r>
      <w:proofErr w:type="spellStart"/>
      <w:r w:rsidRPr="00682C4B">
        <w:rPr>
          <w:rFonts w:ascii="Verdana" w:eastAsia="Calibri" w:hAnsi="Verdana"/>
          <w:sz w:val="22"/>
          <w:szCs w:val="22"/>
        </w:rPr>
        <w:t>statistikos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duomenų</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sąrašus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kuriuos</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reikia</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užpildyti</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ir</w:t>
      </w:r>
      <w:proofErr w:type="spellEnd"/>
      <w:r w:rsidRPr="00682C4B">
        <w:rPr>
          <w:rFonts w:ascii="Verdana" w:eastAsia="Calibri" w:hAnsi="Verdana"/>
          <w:sz w:val="22"/>
          <w:szCs w:val="22"/>
        </w:rPr>
        <w:t xml:space="preserve"> </w:t>
      </w:r>
      <w:proofErr w:type="spellStart"/>
      <w:r w:rsidRPr="00682C4B">
        <w:rPr>
          <w:rFonts w:ascii="Verdana" w:eastAsia="Calibri" w:hAnsi="Verdana"/>
          <w:sz w:val="22"/>
          <w:szCs w:val="22"/>
        </w:rPr>
        <w:t>patvirtinti</w:t>
      </w:r>
      <w:proofErr w:type="spellEnd"/>
      <w:r w:rsidRPr="00682C4B">
        <w:rPr>
          <w:rFonts w:ascii="Verdana" w:eastAsia="Calibri" w:hAnsi="Verdana"/>
          <w:sz w:val="22"/>
          <w:szCs w:val="22"/>
        </w:rPr>
        <w:t>.</w:t>
      </w:r>
    </w:p>
    <w:p w14:paraId="01552725" w14:textId="77777777" w:rsidR="000D4E1F" w:rsidRPr="00682C4B" w:rsidRDefault="000D4E1F" w:rsidP="000D4E1F">
      <w:pPr>
        <w:jc w:val="center"/>
        <w:rPr>
          <w:rFonts w:ascii="Verdana" w:hAnsi="Verdana"/>
          <w:b/>
          <w:sz w:val="22"/>
          <w:szCs w:val="22"/>
        </w:rPr>
      </w:pPr>
    </w:p>
    <w:p w14:paraId="3ACB724F" w14:textId="77777777" w:rsidR="000D4E1F" w:rsidRPr="00682C4B" w:rsidRDefault="000D4E1F" w:rsidP="000D4E1F">
      <w:pPr>
        <w:pStyle w:val="Antrat2"/>
        <w:jc w:val="center"/>
        <w:rPr>
          <w:rFonts w:ascii="Verdana" w:eastAsia="Calibri" w:hAnsi="Verdana"/>
          <w:b/>
          <w:color w:val="auto"/>
          <w:sz w:val="22"/>
          <w:szCs w:val="22"/>
        </w:rPr>
      </w:pPr>
      <w:r w:rsidRPr="00682C4B">
        <w:rPr>
          <w:rFonts w:ascii="Verdana" w:eastAsia="Calibri" w:hAnsi="Verdana"/>
          <w:b/>
          <w:color w:val="auto"/>
          <w:sz w:val="22"/>
          <w:szCs w:val="22"/>
        </w:rPr>
        <w:t>Statistinio sąrašo duomenų pildymas</w:t>
      </w:r>
    </w:p>
    <w:p w14:paraId="29ED1F90" w14:textId="77777777" w:rsidR="000D4E1F" w:rsidRPr="00682C4B" w:rsidRDefault="000D4E1F" w:rsidP="000D4E1F">
      <w:pPr>
        <w:jc w:val="center"/>
        <w:rPr>
          <w:rFonts w:ascii="Verdana" w:hAnsi="Verdana"/>
          <w:b/>
          <w:sz w:val="22"/>
          <w:szCs w:val="22"/>
        </w:rPr>
      </w:pPr>
    </w:p>
    <w:p w14:paraId="08E0949C" w14:textId="0BBE72C4" w:rsidR="000D4E1F" w:rsidRPr="00682C4B" w:rsidRDefault="00104A60" w:rsidP="000D4E1F">
      <w:pPr>
        <w:numPr>
          <w:ilvl w:val="0"/>
          <w:numId w:val="4"/>
        </w:numPr>
        <w:rPr>
          <w:rFonts w:ascii="Verdana" w:hAnsi="Verdana"/>
          <w:sz w:val="22"/>
          <w:szCs w:val="22"/>
          <w:lang w:val="lt-LT"/>
        </w:rPr>
      </w:pPr>
      <w:r w:rsidRPr="00682C4B">
        <w:rPr>
          <w:rFonts w:ascii="Verdana" w:hAnsi="Verdana"/>
          <w:b/>
          <w:sz w:val="22"/>
          <w:szCs w:val="22"/>
          <w:lang w:val="lt-LT"/>
        </w:rPr>
        <w:t>Pastaba dėl</w:t>
      </w:r>
      <w:r w:rsidR="000D4E1F" w:rsidRPr="00682C4B">
        <w:rPr>
          <w:rFonts w:ascii="Verdana" w:hAnsi="Verdana"/>
          <w:b/>
          <w:sz w:val="22"/>
          <w:szCs w:val="22"/>
          <w:lang w:val="lt-LT"/>
        </w:rPr>
        <w:t xml:space="preserve"> </w:t>
      </w:r>
      <w:r w:rsidRPr="00682C4B">
        <w:rPr>
          <w:rFonts w:ascii="Verdana" w:hAnsi="Verdana"/>
          <w:b/>
          <w:sz w:val="22"/>
          <w:szCs w:val="22"/>
          <w:lang w:val="lt-LT"/>
        </w:rPr>
        <w:t>„Praėjusių mokslo metų nepedagoginių mokyklos darbuotojų skaičius“</w:t>
      </w:r>
      <w:r w:rsidRPr="00682C4B">
        <w:rPr>
          <w:rFonts w:ascii="Verdana" w:hAnsi="Verdana"/>
          <w:sz w:val="22"/>
          <w:szCs w:val="22"/>
          <w:lang w:val="lt-LT"/>
        </w:rPr>
        <w:t xml:space="preserve"> </w:t>
      </w:r>
      <w:r w:rsidR="000D4E1F" w:rsidRPr="00682C4B">
        <w:rPr>
          <w:rFonts w:ascii="Verdana" w:hAnsi="Verdana"/>
          <w:b/>
          <w:sz w:val="22"/>
          <w:szCs w:val="22"/>
          <w:lang w:val="lt-LT"/>
        </w:rPr>
        <w:t xml:space="preserve"> </w:t>
      </w:r>
      <w:r w:rsidRPr="00682C4B">
        <w:rPr>
          <w:rFonts w:ascii="Verdana" w:hAnsi="Verdana"/>
          <w:b/>
          <w:sz w:val="22"/>
          <w:szCs w:val="22"/>
          <w:lang w:val="lt-LT"/>
        </w:rPr>
        <w:t>lentelės</w:t>
      </w:r>
    </w:p>
    <w:p w14:paraId="2AB1C81D" w14:textId="77777777" w:rsidR="000D4E1F" w:rsidRPr="00682C4B" w:rsidRDefault="000D4E1F" w:rsidP="000D4E1F">
      <w:pPr>
        <w:ind w:left="720"/>
        <w:rPr>
          <w:rFonts w:ascii="Verdana" w:hAnsi="Verdana"/>
          <w:sz w:val="22"/>
          <w:szCs w:val="22"/>
          <w:lang w:val="lt-LT"/>
        </w:rPr>
      </w:pPr>
    </w:p>
    <w:p w14:paraId="0156D728" w14:textId="77777777" w:rsidR="000D4E1F" w:rsidRPr="00682C4B" w:rsidRDefault="000D4E1F" w:rsidP="000D4E1F">
      <w:pPr>
        <w:jc w:val="both"/>
        <w:rPr>
          <w:rFonts w:ascii="Verdana" w:hAnsi="Verdana"/>
          <w:b/>
          <w:sz w:val="22"/>
          <w:szCs w:val="22"/>
          <w:lang w:val="lt-LT"/>
        </w:rPr>
      </w:pPr>
      <w:r w:rsidRPr="00682C4B">
        <w:rPr>
          <w:rFonts w:ascii="Verdana" w:hAnsi="Verdana"/>
          <w:b/>
          <w:sz w:val="22"/>
          <w:szCs w:val="22"/>
          <w:lang w:val="lt-LT"/>
        </w:rPr>
        <w:t>Duomenų lentelę</w:t>
      </w:r>
      <w:r w:rsidRPr="00682C4B">
        <w:rPr>
          <w:rFonts w:ascii="Verdana" w:hAnsi="Verdana"/>
          <w:sz w:val="22"/>
          <w:szCs w:val="22"/>
          <w:lang w:val="lt-LT"/>
        </w:rPr>
        <w:t xml:space="preserve"> „Praėjusių mokslo metų nepedagoginių mokyklos darbuotojų skaičius“ </w:t>
      </w:r>
      <w:r w:rsidRPr="00682C4B">
        <w:rPr>
          <w:rFonts w:ascii="Verdana" w:hAnsi="Verdana"/>
          <w:b/>
          <w:sz w:val="22"/>
          <w:szCs w:val="22"/>
          <w:lang w:val="lt-LT"/>
        </w:rPr>
        <w:t xml:space="preserve">turi pildyti tik bendrosios paskirties mokyklos, praėjusiais mokslo metais turėjusios specialiųjų klasių. </w:t>
      </w:r>
    </w:p>
    <w:p w14:paraId="7B88CC1B"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 xml:space="preserve">Šioje lentelėje nurodomi tik tie vidutiniai sąlyginiai darbuotojų skaičiai, kurių darbo užmokestis apmokamas vadovaujantis LRV patvirtinta ūkio lėšų, skiriamų iš Lietuvos Respublikos atitinkamų metų valstybės biudžeto specialiųjų tikslinių dotacijų savivaldybių biudžetams, skyrimo savivaldybių mokykloms (klasėms), skirtoms šalies (regiono) mokiniams, turintiems specialiųjų ugdymosi poreikių, metodika. </w:t>
      </w:r>
    </w:p>
    <w:p w14:paraId="4A0B18F4"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Šie darbuotojai taip pat turi būti parodyti ir antroje ataskaitos lentelėje, kartu su visais nepedagoginiais darbuotojais.</w:t>
      </w:r>
    </w:p>
    <w:p w14:paraId="26C9124C" w14:textId="77777777" w:rsidR="000D4E1F" w:rsidRPr="00682C4B" w:rsidRDefault="000D4E1F" w:rsidP="000D4E1F">
      <w:pPr>
        <w:jc w:val="both"/>
        <w:rPr>
          <w:rFonts w:ascii="Verdana" w:hAnsi="Verdana"/>
          <w:sz w:val="22"/>
          <w:szCs w:val="22"/>
        </w:rPr>
      </w:pPr>
      <w:r w:rsidRPr="00682C4B">
        <w:rPr>
          <w:rFonts w:ascii="Verdana" w:hAnsi="Verdana"/>
          <w:b/>
          <w:sz w:val="22"/>
          <w:szCs w:val="22"/>
          <w:lang w:val="lt-LT"/>
        </w:rPr>
        <w:t>Bendrosios paskirties mokyklos</w:t>
      </w:r>
      <w:r w:rsidRPr="00682C4B">
        <w:rPr>
          <w:rFonts w:ascii="Verdana" w:hAnsi="Verdana"/>
          <w:sz w:val="22"/>
          <w:szCs w:val="22"/>
          <w:lang w:val="lt-LT"/>
        </w:rPr>
        <w:t xml:space="preserve">, praėjusiais mokslo metais neturėjusios specialiųjų klasių, ir specialiosios mokyklos </w:t>
      </w:r>
      <w:r w:rsidRPr="00682C4B">
        <w:rPr>
          <w:rFonts w:ascii="Verdana" w:hAnsi="Verdana"/>
          <w:b/>
          <w:sz w:val="22"/>
          <w:szCs w:val="22"/>
          <w:lang w:val="lt-LT"/>
        </w:rPr>
        <w:t>šios lentelės nepildo</w:t>
      </w:r>
      <w:r w:rsidRPr="00682C4B">
        <w:rPr>
          <w:rFonts w:ascii="Verdana" w:hAnsi="Verdana"/>
          <w:b/>
          <w:sz w:val="22"/>
          <w:szCs w:val="22"/>
        </w:rPr>
        <w:t>!</w:t>
      </w:r>
    </w:p>
    <w:p w14:paraId="0ACFB64B" w14:textId="77777777" w:rsidR="000D4E1F" w:rsidRPr="00682C4B" w:rsidRDefault="000D4E1F" w:rsidP="000D4E1F">
      <w:pPr>
        <w:jc w:val="both"/>
        <w:rPr>
          <w:rFonts w:ascii="Verdana" w:hAnsi="Verdana"/>
          <w:sz w:val="22"/>
          <w:szCs w:val="22"/>
          <w:lang w:val="lt-LT"/>
        </w:rPr>
      </w:pPr>
    </w:p>
    <w:p w14:paraId="5D911610" w14:textId="77777777" w:rsidR="000D4E1F" w:rsidRPr="00682C4B" w:rsidRDefault="000D4E1F" w:rsidP="000D4E1F">
      <w:pPr>
        <w:numPr>
          <w:ilvl w:val="0"/>
          <w:numId w:val="4"/>
        </w:numPr>
        <w:jc w:val="both"/>
        <w:rPr>
          <w:rFonts w:ascii="Verdana" w:hAnsi="Verdana"/>
          <w:sz w:val="22"/>
          <w:szCs w:val="22"/>
          <w:lang w:val="lt-LT"/>
        </w:rPr>
      </w:pPr>
      <w:r w:rsidRPr="00682C4B">
        <w:rPr>
          <w:rFonts w:ascii="Verdana" w:hAnsi="Verdana"/>
          <w:sz w:val="22"/>
          <w:szCs w:val="22"/>
          <w:lang w:val="lt-LT"/>
        </w:rPr>
        <w:lastRenderedPageBreak/>
        <w:t xml:space="preserve">Formos 3 ES-mokykla duomenys pateikiami apie visus </w:t>
      </w:r>
      <w:r w:rsidRPr="00682C4B">
        <w:rPr>
          <w:rFonts w:ascii="Verdana" w:hAnsi="Verdana"/>
          <w:b/>
          <w:sz w:val="22"/>
          <w:szCs w:val="22"/>
          <w:lang w:val="lt-LT"/>
        </w:rPr>
        <w:t>praėjusių mokslo metų</w:t>
      </w:r>
      <w:r w:rsidRPr="00682C4B">
        <w:rPr>
          <w:rFonts w:ascii="Verdana" w:hAnsi="Verdana"/>
          <w:sz w:val="22"/>
          <w:szCs w:val="22"/>
          <w:lang w:val="lt-LT"/>
        </w:rPr>
        <w:t xml:space="preserve"> mokyklos darbuotojus, dirbusius pedagoginį, administracinį, sveikatos priežiūros, pagalbinį ar kitą darbą mokykloje, įskaitant ir kitų įmonių darbuotojus, dirbančius mokykloje pagal trišalės darbo sutartį, </w:t>
      </w:r>
      <w:proofErr w:type="spellStart"/>
      <w:r w:rsidRPr="00682C4B">
        <w:rPr>
          <w:rFonts w:ascii="Verdana" w:hAnsi="Verdana"/>
          <w:sz w:val="22"/>
          <w:szCs w:val="22"/>
          <w:lang w:val="lt-LT"/>
        </w:rPr>
        <w:t>t.y</w:t>
      </w:r>
      <w:proofErr w:type="spellEnd"/>
      <w:r w:rsidRPr="00682C4B">
        <w:rPr>
          <w:rFonts w:ascii="Verdana" w:hAnsi="Verdana"/>
          <w:sz w:val="22"/>
          <w:szCs w:val="22"/>
          <w:lang w:val="lt-LT"/>
        </w:rPr>
        <w:t xml:space="preserve">. </w:t>
      </w:r>
      <w:proofErr w:type="spellStart"/>
      <w:r w:rsidRPr="00682C4B">
        <w:rPr>
          <w:rFonts w:ascii="Verdana" w:hAnsi="Verdana"/>
          <w:sz w:val="22"/>
          <w:szCs w:val="22"/>
          <w:lang w:val="lt-LT"/>
        </w:rPr>
        <w:t>sub</w:t>
      </w:r>
      <w:proofErr w:type="spellEnd"/>
      <w:r w:rsidRPr="00682C4B">
        <w:rPr>
          <w:rFonts w:ascii="Verdana" w:hAnsi="Verdana"/>
          <w:sz w:val="22"/>
          <w:szCs w:val="22"/>
          <w:lang w:val="lt-LT"/>
        </w:rPr>
        <w:t>. kontraktus (pvz. valgyklų darbuotojai). Darbuotojų skaičiuje nurodomi tiek laikinai nedirbę (dėl ligos, kasmetinių ir vaiko priežiūros atostogų, ir pan.) tiek laikinai tuo metu juos pavadavę asmenys.</w:t>
      </w:r>
    </w:p>
    <w:p w14:paraId="22085435" w14:textId="77777777" w:rsidR="000D4E1F" w:rsidRPr="00682C4B" w:rsidRDefault="000D4E1F" w:rsidP="000D4E1F">
      <w:pPr>
        <w:numPr>
          <w:ilvl w:val="0"/>
          <w:numId w:val="4"/>
        </w:numPr>
        <w:jc w:val="both"/>
        <w:rPr>
          <w:rFonts w:ascii="Verdana" w:hAnsi="Verdana"/>
          <w:sz w:val="22"/>
          <w:szCs w:val="22"/>
          <w:lang w:val="lt-LT"/>
        </w:rPr>
      </w:pPr>
      <w:r w:rsidRPr="00682C4B">
        <w:rPr>
          <w:rFonts w:ascii="Verdana" w:hAnsi="Verdana"/>
          <w:sz w:val="22"/>
          <w:szCs w:val="22"/>
          <w:lang w:val="lt-LT"/>
        </w:rPr>
        <w:t>Visi mokyklos darbuotojai suskirstomi į šias kategorijas:</w:t>
      </w:r>
    </w:p>
    <w:p w14:paraId="34933A6A" w14:textId="77777777" w:rsidR="000D4E1F" w:rsidRPr="00682C4B" w:rsidRDefault="000D4E1F" w:rsidP="000D4E1F">
      <w:pPr>
        <w:jc w:val="both"/>
        <w:rPr>
          <w:rFonts w:ascii="Verdana" w:hAnsi="Verdana"/>
          <w:sz w:val="22"/>
          <w:szCs w:val="22"/>
          <w:lang w:val="lt-LT"/>
        </w:rPr>
      </w:pPr>
    </w:p>
    <w:p w14:paraId="0F34C116" w14:textId="77777777" w:rsidR="000D4E1F" w:rsidRPr="00682C4B" w:rsidRDefault="000D4E1F" w:rsidP="000D4E1F">
      <w:pPr>
        <w:jc w:val="center"/>
        <w:rPr>
          <w:rFonts w:ascii="Verdana" w:hAnsi="Verdana"/>
          <w:b/>
          <w:sz w:val="22"/>
          <w:szCs w:val="22"/>
          <w:lang w:val="lt-LT"/>
        </w:rPr>
      </w:pPr>
      <w:r w:rsidRPr="00682C4B">
        <w:rPr>
          <w:rFonts w:ascii="Verdana" w:hAnsi="Verdana"/>
          <w:b/>
          <w:sz w:val="22"/>
          <w:szCs w:val="22"/>
          <w:lang w:val="lt-LT"/>
        </w:rPr>
        <w:t>Mokymo ir kitas personalas</w:t>
      </w:r>
    </w:p>
    <w:p w14:paraId="75E034E4" w14:textId="77777777" w:rsidR="000D4E1F" w:rsidRPr="00682C4B" w:rsidRDefault="000D4E1F" w:rsidP="000D4E1F">
      <w:pPr>
        <w:jc w:val="both"/>
        <w:rPr>
          <w:rFonts w:ascii="Verdana" w:hAnsi="Verdana"/>
          <w:b/>
          <w:color w:val="000099"/>
          <w:sz w:val="22"/>
          <w:szCs w:val="22"/>
          <w:lang w:val="lt-LT"/>
        </w:rPr>
      </w:pPr>
    </w:p>
    <w:p w14:paraId="355A0F1B" w14:textId="77777777" w:rsidR="000D4E1F" w:rsidRPr="00682C4B" w:rsidRDefault="000D4E1F" w:rsidP="000D4E1F">
      <w:pPr>
        <w:jc w:val="both"/>
        <w:rPr>
          <w:rFonts w:ascii="Verdana" w:hAnsi="Verdana"/>
          <w:sz w:val="22"/>
          <w:szCs w:val="22"/>
          <w:lang w:val="lt-LT"/>
        </w:rPr>
      </w:pPr>
      <w:r w:rsidRPr="00682C4B">
        <w:rPr>
          <w:rFonts w:ascii="Verdana" w:hAnsi="Verdana"/>
          <w:b/>
          <w:i/>
          <w:sz w:val="22"/>
          <w:szCs w:val="22"/>
          <w:lang w:val="lt-LT"/>
        </w:rPr>
        <w:t>1. Mokytojai</w:t>
      </w:r>
      <w:r w:rsidRPr="00682C4B">
        <w:rPr>
          <w:rFonts w:ascii="Verdana" w:hAnsi="Verdana"/>
          <w:i/>
          <w:sz w:val="22"/>
          <w:szCs w:val="22"/>
          <w:lang w:val="lt-LT"/>
        </w:rPr>
        <w:t>.</w:t>
      </w:r>
      <w:r w:rsidRPr="00682C4B">
        <w:rPr>
          <w:rFonts w:ascii="Verdana" w:hAnsi="Verdana"/>
          <w:sz w:val="22"/>
          <w:szCs w:val="22"/>
          <w:lang w:val="lt-LT"/>
        </w:rPr>
        <w:t xml:space="preserve"> </w:t>
      </w:r>
    </w:p>
    <w:p w14:paraId="5B025773" w14:textId="77777777" w:rsidR="000D4E1F" w:rsidRPr="00682C4B" w:rsidRDefault="000D4E1F" w:rsidP="000D4E1F">
      <w:pPr>
        <w:jc w:val="both"/>
        <w:rPr>
          <w:rFonts w:ascii="Verdana" w:hAnsi="Verdana"/>
          <w:sz w:val="22"/>
          <w:szCs w:val="22"/>
          <w:lang w:val="lt-LT"/>
        </w:rPr>
      </w:pPr>
    </w:p>
    <w:p w14:paraId="03E1AC0D"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 xml:space="preserve">Tai profesionalūs pedagogai, kurie moko moksleivius pagal tam tikras mokymo programas. </w:t>
      </w:r>
    </w:p>
    <w:p w14:paraId="039216F7" w14:textId="77777777" w:rsidR="000D4E1F" w:rsidRPr="00682C4B" w:rsidRDefault="000D4E1F" w:rsidP="000D4E1F">
      <w:pPr>
        <w:jc w:val="both"/>
        <w:rPr>
          <w:rFonts w:ascii="Verdana" w:hAnsi="Verdana"/>
          <w:spacing w:val="-2"/>
          <w:sz w:val="22"/>
          <w:szCs w:val="22"/>
          <w:lang w:val="lt-LT"/>
        </w:rPr>
      </w:pPr>
      <w:r w:rsidRPr="00682C4B">
        <w:rPr>
          <w:rFonts w:ascii="Verdana" w:hAnsi="Verdana"/>
          <w:caps/>
          <w:spacing w:val="-2"/>
          <w:sz w:val="22"/>
          <w:szCs w:val="22"/>
          <w:lang w:val="lt-LT"/>
        </w:rPr>
        <w:t>d</w:t>
      </w:r>
      <w:r w:rsidRPr="00682C4B">
        <w:rPr>
          <w:rFonts w:ascii="Verdana" w:hAnsi="Verdana"/>
          <w:spacing w:val="-2"/>
          <w:sz w:val="22"/>
          <w:szCs w:val="22"/>
          <w:lang w:val="lt-LT"/>
        </w:rPr>
        <w:t xml:space="preserve">alykus dėstantys mokyklų vadovai, pavaduotojai taip pat priskiriami mokytojų kategorijai, jei pedagoginiam darbui jie skyrė ne mažiau kaip ketvirtadalį darbo laiko. </w:t>
      </w:r>
    </w:p>
    <w:p w14:paraId="1687A39A" w14:textId="77777777" w:rsidR="000D4E1F" w:rsidRPr="00682C4B" w:rsidRDefault="000D4E1F" w:rsidP="000D4E1F">
      <w:pPr>
        <w:jc w:val="both"/>
        <w:rPr>
          <w:rFonts w:ascii="Verdana" w:hAnsi="Verdana"/>
          <w:spacing w:val="-2"/>
          <w:sz w:val="22"/>
          <w:szCs w:val="22"/>
          <w:lang w:val="lt-LT"/>
        </w:rPr>
      </w:pPr>
    </w:p>
    <w:p w14:paraId="6C9C0251" w14:textId="77777777" w:rsidR="000D4E1F" w:rsidRPr="00682C4B" w:rsidRDefault="000D4E1F" w:rsidP="000D4E1F">
      <w:pPr>
        <w:jc w:val="both"/>
        <w:rPr>
          <w:rFonts w:ascii="Verdana" w:hAnsi="Verdana"/>
          <w:spacing w:val="-2"/>
          <w:sz w:val="22"/>
          <w:szCs w:val="22"/>
          <w:lang w:val="lt-LT"/>
        </w:rPr>
      </w:pPr>
      <w:r w:rsidRPr="00682C4B">
        <w:rPr>
          <w:rFonts w:ascii="Verdana" w:hAnsi="Verdana"/>
          <w:spacing w:val="-2"/>
          <w:sz w:val="22"/>
          <w:szCs w:val="22"/>
          <w:lang w:val="lt-LT"/>
        </w:rPr>
        <w:t xml:space="preserve">Mokytojai gali dirbti daugiau nei viename švietimo lygmenyje. Mokytojų skaičius turi būti išskaidytas į mokymo programų (priešmokyklinio ugdymo, 1-4 kl. , 5-10 ir I-II gimnazijų kl. ir 11-12 kl. Ir III-IV gimnazijų kl.) lygmenis ir į dirbančius visą darbo dieną ir ne visą darbo dieną. </w:t>
      </w:r>
    </w:p>
    <w:p w14:paraId="3811C02F" w14:textId="77777777" w:rsidR="000D4E1F" w:rsidRPr="00682C4B" w:rsidRDefault="000D4E1F" w:rsidP="000D4E1F">
      <w:pPr>
        <w:jc w:val="both"/>
        <w:rPr>
          <w:rFonts w:ascii="Verdana" w:hAnsi="Verdana"/>
          <w:spacing w:val="-2"/>
          <w:sz w:val="22"/>
          <w:szCs w:val="22"/>
          <w:lang w:val="lt-LT"/>
        </w:rPr>
      </w:pPr>
    </w:p>
    <w:p w14:paraId="1C068E23" w14:textId="77777777" w:rsidR="000D4E1F" w:rsidRPr="00682C4B" w:rsidRDefault="000D4E1F" w:rsidP="000D4E1F">
      <w:pPr>
        <w:jc w:val="both"/>
        <w:rPr>
          <w:rFonts w:ascii="Verdana" w:hAnsi="Verdana"/>
          <w:spacing w:val="-2"/>
          <w:sz w:val="22"/>
          <w:szCs w:val="22"/>
          <w:lang w:val="lt-LT"/>
        </w:rPr>
      </w:pPr>
      <w:r w:rsidRPr="00682C4B">
        <w:rPr>
          <w:rFonts w:ascii="Verdana" w:hAnsi="Verdana"/>
          <w:spacing w:val="-2"/>
          <w:sz w:val="22"/>
          <w:szCs w:val="22"/>
          <w:lang w:val="lt-LT"/>
        </w:rPr>
        <w:t>Mokytojai, dėstantys skirtinguose mokymo programų lygmenyse, priskiriami tam lygmeniui, kuriame turi didžiausią darbo krūvį. Mokytojas turi būti nurodomas tik vieną kartą. Jei skirtinguose lygmenyse mokytojas turi vienodą darbo krūvį, tai mokytojas nurodomas tik viename iš lygmenų, atsižvelgiant į mokytojo pasirinkimą. Tačiau mokytojo valandos, proporcingai paskirstomos ir priskaičiuojamos atitinkamai prie abiejų lygmenų.</w:t>
      </w:r>
    </w:p>
    <w:p w14:paraId="42879DFF" w14:textId="77777777" w:rsidR="000D4E1F" w:rsidRPr="00682C4B" w:rsidRDefault="000D4E1F" w:rsidP="000D4E1F">
      <w:pPr>
        <w:jc w:val="both"/>
        <w:rPr>
          <w:rFonts w:ascii="Verdana" w:hAnsi="Verdana"/>
          <w:spacing w:val="-2"/>
          <w:sz w:val="22"/>
          <w:szCs w:val="22"/>
          <w:lang w:val="lt-LT"/>
        </w:rPr>
      </w:pPr>
    </w:p>
    <w:p w14:paraId="67C50BD6" w14:textId="79BE667A" w:rsidR="000D4E1F" w:rsidRPr="00682C4B" w:rsidRDefault="000D4E1F" w:rsidP="000D4E1F">
      <w:pPr>
        <w:jc w:val="both"/>
        <w:rPr>
          <w:rFonts w:ascii="Verdana" w:hAnsi="Verdana"/>
          <w:spacing w:val="-2"/>
          <w:sz w:val="22"/>
          <w:szCs w:val="22"/>
          <w:lang w:val="lt-LT"/>
        </w:rPr>
      </w:pPr>
      <w:r w:rsidRPr="00682C4B">
        <w:rPr>
          <w:rFonts w:ascii="Verdana" w:hAnsi="Verdana"/>
          <w:spacing w:val="-2"/>
          <w:sz w:val="22"/>
          <w:szCs w:val="22"/>
          <w:lang w:val="lt-LT"/>
        </w:rPr>
        <w:t xml:space="preserve">Pvz. Matematikos mokytojas per metus dirba </w:t>
      </w:r>
      <w:r w:rsidR="00104A60" w:rsidRPr="00682C4B">
        <w:rPr>
          <w:rFonts w:ascii="Verdana" w:hAnsi="Verdana"/>
          <w:spacing w:val="-2"/>
          <w:sz w:val="22"/>
          <w:szCs w:val="22"/>
          <w:lang w:val="lt-LT"/>
        </w:rPr>
        <w:t>1360</w:t>
      </w:r>
      <w:r w:rsidRPr="00682C4B">
        <w:rPr>
          <w:rFonts w:ascii="Verdana" w:hAnsi="Verdana"/>
          <w:spacing w:val="-2"/>
          <w:sz w:val="22"/>
          <w:szCs w:val="22"/>
          <w:lang w:val="lt-LT"/>
        </w:rPr>
        <w:t xml:space="preserve"> val.. Tačiau, faktiškai 3</w:t>
      </w:r>
      <w:r w:rsidR="00104A60" w:rsidRPr="00682C4B">
        <w:rPr>
          <w:rFonts w:ascii="Verdana" w:hAnsi="Verdana"/>
          <w:spacing w:val="-2"/>
          <w:sz w:val="22"/>
          <w:szCs w:val="22"/>
          <w:lang w:val="lt-LT"/>
        </w:rPr>
        <w:t>60</w:t>
      </w:r>
      <w:r w:rsidRPr="00682C4B">
        <w:rPr>
          <w:rFonts w:ascii="Verdana" w:hAnsi="Verdana"/>
          <w:spacing w:val="-2"/>
          <w:sz w:val="22"/>
          <w:szCs w:val="22"/>
          <w:lang w:val="lt-LT"/>
        </w:rPr>
        <w:t xml:space="preserve"> val. dėsto 8 klasės mokiniams ir </w:t>
      </w:r>
      <w:r w:rsidR="00104A60" w:rsidRPr="00682C4B">
        <w:rPr>
          <w:rFonts w:ascii="Verdana" w:hAnsi="Verdana"/>
          <w:spacing w:val="-2"/>
          <w:sz w:val="22"/>
          <w:szCs w:val="22"/>
          <w:lang w:val="lt-LT"/>
        </w:rPr>
        <w:t>1000</w:t>
      </w:r>
      <w:r w:rsidRPr="00682C4B">
        <w:rPr>
          <w:rFonts w:ascii="Verdana" w:hAnsi="Verdana"/>
          <w:spacing w:val="-2"/>
          <w:sz w:val="22"/>
          <w:szCs w:val="22"/>
          <w:lang w:val="lt-LT"/>
        </w:rPr>
        <w:t xml:space="preserve"> val. – 12-okams. Kadangi didesnis darbo krūvis atitenka dirbant su 12-tokais, tai jis, kaip asmuo, nurodomas 10 stulpelyje, o jo valandos (kurios reikalingos skaičiuojant vidutinį sąlyginį darbuotojų skaičių), proporcingai paskirstomos ir pridedamos, atitinkamai, 9 ir 12 stulpeliuose. 9 stulpelyje gausime 0,2</w:t>
      </w:r>
      <w:r w:rsidR="003F4006" w:rsidRPr="00682C4B">
        <w:rPr>
          <w:rFonts w:ascii="Verdana" w:hAnsi="Verdana"/>
          <w:spacing w:val="-2"/>
          <w:sz w:val="22"/>
          <w:szCs w:val="22"/>
          <w:lang w:val="lt-LT"/>
        </w:rPr>
        <w:t>4</w:t>
      </w:r>
      <w:r w:rsidRPr="00682C4B">
        <w:rPr>
          <w:rFonts w:ascii="Verdana" w:hAnsi="Verdana"/>
          <w:spacing w:val="-2"/>
          <w:sz w:val="22"/>
          <w:szCs w:val="22"/>
          <w:lang w:val="lt-LT"/>
        </w:rPr>
        <w:t xml:space="preserve"> (3</w:t>
      </w:r>
      <w:r w:rsidR="003F4006" w:rsidRPr="00682C4B">
        <w:rPr>
          <w:rFonts w:ascii="Verdana" w:hAnsi="Verdana"/>
          <w:spacing w:val="-2"/>
          <w:sz w:val="22"/>
          <w:szCs w:val="22"/>
          <w:lang w:val="lt-LT"/>
        </w:rPr>
        <w:t>6</w:t>
      </w:r>
      <w:r w:rsidRPr="00682C4B">
        <w:rPr>
          <w:rFonts w:ascii="Verdana" w:hAnsi="Verdana"/>
          <w:spacing w:val="-2"/>
          <w:sz w:val="22"/>
          <w:szCs w:val="22"/>
          <w:lang w:val="lt-LT"/>
        </w:rPr>
        <w:t>0 val. / 1512 val. = 0,2</w:t>
      </w:r>
      <w:r w:rsidR="003F4006" w:rsidRPr="00682C4B">
        <w:rPr>
          <w:rFonts w:ascii="Verdana" w:hAnsi="Verdana"/>
          <w:spacing w:val="-2"/>
          <w:sz w:val="22"/>
          <w:szCs w:val="22"/>
          <w:lang w:val="lt-LT"/>
        </w:rPr>
        <w:t>4), o 12 stulpelyje – 0,66 (</w:t>
      </w:r>
      <w:r w:rsidRPr="00682C4B">
        <w:rPr>
          <w:rFonts w:ascii="Verdana" w:hAnsi="Verdana"/>
          <w:spacing w:val="-2"/>
          <w:sz w:val="22"/>
          <w:szCs w:val="22"/>
          <w:lang w:val="lt-LT"/>
        </w:rPr>
        <w:t xml:space="preserve"> </w:t>
      </w:r>
      <w:r w:rsidR="003F4006" w:rsidRPr="00682C4B">
        <w:rPr>
          <w:rFonts w:ascii="Verdana" w:hAnsi="Verdana"/>
          <w:spacing w:val="-2"/>
          <w:sz w:val="22"/>
          <w:szCs w:val="22"/>
          <w:lang w:val="lt-LT"/>
        </w:rPr>
        <w:t>1000val. / 1512 val. = 0,66</w:t>
      </w:r>
      <w:r w:rsidRPr="00682C4B">
        <w:rPr>
          <w:rFonts w:ascii="Verdana" w:hAnsi="Verdana"/>
          <w:spacing w:val="-2"/>
          <w:sz w:val="22"/>
          <w:szCs w:val="22"/>
          <w:lang w:val="lt-LT"/>
        </w:rPr>
        <w:t xml:space="preserve">) </w:t>
      </w:r>
    </w:p>
    <w:p w14:paraId="0D640688" w14:textId="77777777" w:rsidR="000D4E1F" w:rsidRPr="00682C4B" w:rsidRDefault="000D4E1F" w:rsidP="000D4E1F">
      <w:pPr>
        <w:jc w:val="both"/>
        <w:rPr>
          <w:rFonts w:ascii="Verdana" w:hAnsi="Verdana"/>
          <w:spacing w:val="-2"/>
          <w:sz w:val="22"/>
          <w:szCs w:val="22"/>
          <w:lang w:val="lt-LT"/>
        </w:rPr>
      </w:pPr>
    </w:p>
    <w:p w14:paraId="515B5790" w14:textId="77777777" w:rsidR="000D4E1F" w:rsidRPr="00682C4B" w:rsidRDefault="000D4E1F" w:rsidP="000D4E1F">
      <w:pPr>
        <w:jc w:val="both"/>
        <w:rPr>
          <w:rFonts w:ascii="Verdana" w:hAnsi="Verdana"/>
          <w:spacing w:val="-2"/>
          <w:sz w:val="22"/>
          <w:szCs w:val="22"/>
          <w:lang w:val="lt-LT"/>
        </w:rPr>
      </w:pPr>
    </w:p>
    <w:tbl>
      <w:tblPr>
        <w:tblW w:w="13198" w:type="dxa"/>
        <w:tblInd w:w="93" w:type="dxa"/>
        <w:tblLayout w:type="fixed"/>
        <w:tblLook w:val="04A0" w:firstRow="1" w:lastRow="0" w:firstColumn="1" w:lastColumn="0" w:noHBand="0" w:noVBand="1"/>
      </w:tblPr>
      <w:tblGrid>
        <w:gridCol w:w="1800"/>
        <w:gridCol w:w="236"/>
        <w:gridCol w:w="272"/>
        <w:gridCol w:w="571"/>
        <w:gridCol w:w="574"/>
        <w:gridCol w:w="851"/>
        <w:gridCol w:w="1098"/>
        <w:gridCol w:w="709"/>
        <w:gridCol w:w="850"/>
        <w:gridCol w:w="1134"/>
        <w:gridCol w:w="709"/>
        <w:gridCol w:w="709"/>
        <w:gridCol w:w="1134"/>
        <w:gridCol w:w="709"/>
        <w:gridCol w:w="708"/>
        <w:gridCol w:w="1134"/>
      </w:tblGrid>
      <w:tr w:rsidR="000D4E1F" w:rsidRPr="00682C4B" w14:paraId="2233779D" w14:textId="77777777" w:rsidTr="005405DB">
        <w:trPr>
          <w:trHeight w:val="450"/>
        </w:trPr>
        <w:tc>
          <w:tcPr>
            <w:tcW w:w="1800" w:type="dxa"/>
            <w:tcBorders>
              <w:top w:val="single" w:sz="4" w:space="0" w:color="auto"/>
              <w:left w:val="single" w:sz="4" w:space="0" w:color="auto"/>
              <w:bottom w:val="nil"/>
              <w:right w:val="nil"/>
            </w:tcBorders>
            <w:shd w:val="clear" w:color="auto" w:fill="auto"/>
            <w:noWrap/>
            <w:vAlign w:val="bottom"/>
            <w:hideMark/>
          </w:tcPr>
          <w:p w14:paraId="383B0615" w14:textId="77777777" w:rsidR="000D4E1F" w:rsidRPr="00682C4B" w:rsidRDefault="000D4E1F" w:rsidP="00C477CB">
            <w:pPr>
              <w:rPr>
                <w:rFonts w:ascii="Verdana" w:hAnsi="Verdana"/>
                <w:sz w:val="22"/>
                <w:szCs w:val="22"/>
                <w:lang w:val="lt-LT"/>
              </w:rPr>
            </w:pPr>
            <w:r w:rsidRPr="00682C4B">
              <w:rPr>
                <w:rFonts w:ascii="Verdana" w:hAnsi="Verdana"/>
                <w:sz w:val="22"/>
                <w:szCs w:val="22"/>
                <w:lang w:val="lt-LT"/>
              </w:rPr>
              <w:t> </w:t>
            </w:r>
          </w:p>
        </w:tc>
        <w:tc>
          <w:tcPr>
            <w:tcW w:w="236" w:type="dxa"/>
            <w:tcBorders>
              <w:top w:val="single" w:sz="4" w:space="0" w:color="auto"/>
              <w:left w:val="nil"/>
              <w:bottom w:val="nil"/>
              <w:right w:val="nil"/>
            </w:tcBorders>
            <w:shd w:val="clear" w:color="auto" w:fill="auto"/>
            <w:noWrap/>
            <w:vAlign w:val="bottom"/>
            <w:hideMark/>
          </w:tcPr>
          <w:p w14:paraId="4B651424" w14:textId="77777777" w:rsidR="000D4E1F" w:rsidRPr="00682C4B" w:rsidRDefault="000D4E1F" w:rsidP="00C477CB">
            <w:pPr>
              <w:rPr>
                <w:rFonts w:ascii="Verdana" w:hAnsi="Verdana"/>
                <w:sz w:val="22"/>
                <w:szCs w:val="22"/>
                <w:lang w:val="lt-LT"/>
              </w:rPr>
            </w:pPr>
            <w:r w:rsidRPr="00682C4B">
              <w:rPr>
                <w:rFonts w:ascii="Verdana" w:hAnsi="Verdana"/>
                <w:sz w:val="22"/>
                <w:szCs w:val="22"/>
                <w:lang w:val="lt-LT"/>
              </w:rPr>
              <w:t> </w:t>
            </w:r>
          </w:p>
        </w:tc>
        <w:tc>
          <w:tcPr>
            <w:tcW w:w="272" w:type="dxa"/>
            <w:tcBorders>
              <w:top w:val="single" w:sz="4" w:space="0" w:color="auto"/>
              <w:left w:val="nil"/>
              <w:bottom w:val="nil"/>
              <w:right w:val="single" w:sz="4" w:space="0" w:color="auto"/>
            </w:tcBorders>
            <w:shd w:val="clear" w:color="auto" w:fill="auto"/>
            <w:noWrap/>
            <w:vAlign w:val="bottom"/>
            <w:hideMark/>
          </w:tcPr>
          <w:p w14:paraId="7FC291F9" w14:textId="77777777" w:rsidR="000D4E1F" w:rsidRPr="00682C4B" w:rsidRDefault="000D4E1F" w:rsidP="00C477CB">
            <w:pPr>
              <w:rPr>
                <w:rFonts w:ascii="Verdana" w:hAnsi="Verdana"/>
                <w:sz w:val="22"/>
                <w:szCs w:val="22"/>
                <w:lang w:val="lt-LT"/>
              </w:rPr>
            </w:pPr>
            <w:r w:rsidRPr="00682C4B">
              <w:rPr>
                <w:rFonts w:ascii="Verdana" w:hAnsi="Verdana"/>
                <w:sz w:val="22"/>
                <w:szCs w:val="22"/>
                <w:lang w:val="lt-LT"/>
              </w:rPr>
              <w:t> </w:t>
            </w:r>
          </w:p>
        </w:tc>
        <w:tc>
          <w:tcPr>
            <w:tcW w:w="571" w:type="dxa"/>
            <w:tcBorders>
              <w:top w:val="single" w:sz="4" w:space="0" w:color="auto"/>
              <w:left w:val="nil"/>
              <w:bottom w:val="nil"/>
              <w:right w:val="nil"/>
            </w:tcBorders>
            <w:shd w:val="clear" w:color="auto" w:fill="auto"/>
            <w:noWrap/>
            <w:vAlign w:val="bottom"/>
            <w:hideMark/>
          </w:tcPr>
          <w:p w14:paraId="6667090C" w14:textId="77777777" w:rsidR="000D4E1F" w:rsidRPr="00682C4B" w:rsidRDefault="000D4E1F" w:rsidP="00C477CB">
            <w:pPr>
              <w:rPr>
                <w:rFonts w:ascii="Verdana" w:hAnsi="Verdana"/>
                <w:sz w:val="22"/>
                <w:szCs w:val="22"/>
                <w:lang w:val="lt-LT"/>
              </w:rPr>
            </w:pPr>
            <w:r w:rsidRPr="00682C4B">
              <w:rPr>
                <w:rFonts w:ascii="Verdana" w:hAnsi="Verdana"/>
                <w:sz w:val="22"/>
                <w:szCs w:val="22"/>
                <w:lang w:val="lt-LT"/>
              </w:rPr>
              <w:t> </w:t>
            </w:r>
          </w:p>
        </w:tc>
        <w:tc>
          <w:tcPr>
            <w:tcW w:w="25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D2FA7D" w14:textId="77777777" w:rsidR="000D4E1F" w:rsidRPr="00682C4B" w:rsidRDefault="000D4E1F" w:rsidP="00C477CB">
            <w:pPr>
              <w:jc w:val="center"/>
              <w:rPr>
                <w:rFonts w:ascii="Verdana" w:hAnsi="Verdana"/>
                <w:b/>
                <w:bCs/>
                <w:sz w:val="22"/>
                <w:szCs w:val="22"/>
                <w:lang w:val="lt-LT"/>
              </w:rPr>
            </w:pPr>
            <w:r w:rsidRPr="00682C4B">
              <w:rPr>
                <w:rFonts w:ascii="Verdana" w:hAnsi="Verdana"/>
                <w:b/>
                <w:bCs/>
                <w:sz w:val="22"/>
                <w:szCs w:val="22"/>
                <w:lang w:val="lt-LT"/>
              </w:rPr>
              <w:t>Priešmokyklinio ugdymo grupių mokytojai</w:t>
            </w:r>
          </w:p>
        </w:tc>
        <w:tc>
          <w:tcPr>
            <w:tcW w:w="2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DE03AD1" w14:textId="77777777" w:rsidR="000D4E1F" w:rsidRPr="00682C4B" w:rsidRDefault="000D4E1F" w:rsidP="00C477CB">
            <w:pPr>
              <w:jc w:val="center"/>
              <w:rPr>
                <w:rFonts w:ascii="Verdana" w:hAnsi="Verdana"/>
                <w:b/>
                <w:bCs/>
                <w:sz w:val="22"/>
                <w:szCs w:val="22"/>
                <w:lang w:val="lt-LT"/>
              </w:rPr>
            </w:pPr>
            <w:r w:rsidRPr="00682C4B">
              <w:rPr>
                <w:rFonts w:ascii="Verdana" w:hAnsi="Verdana"/>
                <w:b/>
                <w:bCs/>
                <w:sz w:val="22"/>
                <w:szCs w:val="22"/>
                <w:lang w:val="lt-LT"/>
              </w:rPr>
              <w:t>1-4 klasės mokytojai</w:t>
            </w:r>
          </w:p>
        </w:tc>
        <w:tc>
          <w:tcPr>
            <w:tcW w:w="2552" w:type="dxa"/>
            <w:gridSpan w:val="3"/>
            <w:tcBorders>
              <w:top w:val="single" w:sz="4" w:space="0" w:color="auto"/>
              <w:left w:val="nil"/>
              <w:bottom w:val="single" w:sz="4" w:space="0" w:color="auto"/>
              <w:right w:val="single" w:sz="4" w:space="0" w:color="auto"/>
            </w:tcBorders>
          </w:tcPr>
          <w:p w14:paraId="2E3D409D" w14:textId="77777777" w:rsidR="000D4E1F" w:rsidRPr="00682C4B" w:rsidRDefault="000D4E1F" w:rsidP="00C477CB">
            <w:pPr>
              <w:jc w:val="center"/>
              <w:rPr>
                <w:rFonts w:ascii="Verdana" w:hAnsi="Verdana"/>
                <w:b/>
                <w:bCs/>
                <w:sz w:val="22"/>
                <w:szCs w:val="22"/>
                <w:lang w:val="lt-LT"/>
              </w:rPr>
            </w:pPr>
            <w:r w:rsidRPr="00682C4B">
              <w:rPr>
                <w:rFonts w:ascii="Verdana" w:hAnsi="Verdana"/>
                <w:b/>
                <w:bCs/>
                <w:sz w:val="22"/>
                <w:szCs w:val="22"/>
                <w:lang w:val="lt-LT"/>
              </w:rPr>
              <w:t>5-10 klasės ir I-II gimnazijos klasės mokytojai</w:t>
            </w:r>
          </w:p>
        </w:tc>
        <w:tc>
          <w:tcPr>
            <w:tcW w:w="2551" w:type="dxa"/>
            <w:gridSpan w:val="3"/>
            <w:tcBorders>
              <w:top w:val="single" w:sz="4" w:space="0" w:color="auto"/>
              <w:left w:val="single" w:sz="4" w:space="0" w:color="auto"/>
              <w:bottom w:val="single" w:sz="4" w:space="0" w:color="auto"/>
              <w:right w:val="single" w:sz="4" w:space="0" w:color="auto"/>
            </w:tcBorders>
          </w:tcPr>
          <w:p w14:paraId="7EE494F5" w14:textId="77777777" w:rsidR="000D4E1F" w:rsidRPr="00682C4B" w:rsidRDefault="000D4E1F" w:rsidP="00C477CB">
            <w:pPr>
              <w:jc w:val="center"/>
              <w:rPr>
                <w:rFonts w:ascii="Verdana" w:hAnsi="Verdana"/>
                <w:b/>
                <w:bCs/>
                <w:sz w:val="22"/>
                <w:szCs w:val="22"/>
                <w:lang w:val="lt-LT"/>
              </w:rPr>
            </w:pPr>
            <w:r w:rsidRPr="00682C4B">
              <w:rPr>
                <w:rFonts w:ascii="Verdana" w:hAnsi="Verdana"/>
                <w:b/>
                <w:bCs/>
                <w:sz w:val="22"/>
                <w:szCs w:val="22"/>
                <w:lang w:val="lt-LT"/>
              </w:rPr>
              <w:t>11-12 klasės</w:t>
            </w:r>
            <w:r w:rsidRPr="00682C4B">
              <w:rPr>
                <w:rFonts w:ascii="Verdana" w:hAnsi="Verdana"/>
                <w:b/>
                <w:bCs/>
                <w:sz w:val="22"/>
                <w:szCs w:val="22"/>
              </w:rPr>
              <w:t xml:space="preserve"> </w:t>
            </w:r>
            <w:proofErr w:type="spellStart"/>
            <w:r w:rsidRPr="00682C4B">
              <w:rPr>
                <w:rFonts w:ascii="Verdana" w:hAnsi="Verdana"/>
                <w:b/>
                <w:bCs/>
                <w:sz w:val="22"/>
                <w:szCs w:val="22"/>
              </w:rPr>
              <w:t>ir</w:t>
            </w:r>
            <w:proofErr w:type="spellEnd"/>
            <w:r w:rsidRPr="00682C4B">
              <w:rPr>
                <w:rFonts w:ascii="Verdana" w:hAnsi="Verdana"/>
                <w:b/>
                <w:bCs/>
                <w:sz w:val="22"/>
                <w:szCs w:val="22"/>
              </w:rPr>
              <w:t xml:space="preserve"> III-IV </w:t>
            </w:r>
            <w:r w:rsidRPr="00682C4B">
              <w:rPr>
                <w:rFonts w:ascii="Verdana" w:hAnsi="Verdana"/>
                <w:b/>
                <w:bCs/>
                <w:sz w:val="22"/>
                <w:szCs w:val="22"/>
                <w:lang w:val="lt-LT"/>
              </w:rPr>
              <w:t>gimnazijos</w:t>
            </w:r>
            <w:r w:rsidRPr="00682C4B">
              <w:rPr>
                <w:rFonts w:ascii="Verdana" w:hAnsi="Verdana"/>
                <w:b/>
                <w:bCs/>
                <w:sz w:val="22"/>
                <w:szCs w:val="22"/>
              </w:rPr>
              <w:t xml:space="preserve"> </w:t>
            </w:r>
            <w:r w:rsidRPr="00682C4B">
              <w:rPr>
                <w:rFonts w:ascii="Verdana" w:hAnsi="Verdana"/>
                <w:b/>
                <w:bCs/>
                <w:sz w:val="22"/>
                <w:szCs w:val="22"/>
                <w:lang w:val="lt-LT"/>
              </w:rPr>
              <w:t>klasės</w:t>
            </w:r>
            <w:r w:rsidRPr="00682C4B">
              <w:rPr>
                <w:rFonts w:ascii="Verdana" w:hAnsi="Verdana"/>
                <w:b/>
                <w:bCs/>
                <w:sz w:val="22"/>
                <w:szCs w:val="22"/>
              </w:rPr>
              <w:t xml:space="preserve"> </w:t>
            </w:r>
            <w:r w:rsidRPr="00682C4B">
              <w:rPr>
                <w:rFonts w:ascii="Verdana" w:hAnsi="Verdana"/>
                <w:b/>
                <w:bCs/>
                <w:sz w:val="22"/>
                <w:szCs w:val="22"/>
                <w:lang w:val="lt-LT"/>
              </w:rPr>
              <w:t>mokytojai</w:t>
            </w:r>
          </w:p>
        </w:tc>
      </w:tr>
      <w:tr w:rsidR="000D4E1F" w:rsidRPr="00682C4B" w14:paraId="2533C3F2" w14:textId="77777777" w:rsidTr="005405DB">
        <w:trPr>
          <w:trHeight w:val="255"/>
        </w:trPr>
        <w:tc>
          <w:tcPr>
            <w:tcW w:w="2308" w:type="dxa"/>
            <w:gridSpan w:val="3"/>
            <w:tcBorders>
              <w:top w:val="nil"/>
              <w:left w:val="single" w:sz="4" w:space="0" w:color="auto"/>
              <w:bottom w:val="nil"/>
              <w:right w:val="single" w:sz="4" w:space="0" w:color="000000"/>
            </w:tcBorders>
            <w:shd w:val="clear" w:color="auto" w:fill="auto"/>
            <w:noWrap/>
            <w:vAlign w:val="center"/>
            <w:hideMark/>
          </w:tcPr>
          <w:p w14:paraId="2B807836" w14:textId="77777777" w:rsidR="000D4E1F" w:rsidRPr="00682C4B" w:rsidRDefault="000D4E1F" w:rsidP="00C477CB">
            <w:pPr>
              <w:jc w:val="center"/>
              <w:rPr>
                <w:rFonts w:ascii="Verdana" w:hAnsi="Verdana"/>
                <w:b/>
                <w:bCs/>
                <w:sz w:val="22"/>
                <w:szCs w:val="22"/>
                <w:lang w:val="lt-LT"/>
              </w:rPr>
            </w:pPr>
            <w:r w:rsidRPr="00682C4B">
              <w:rPr>
                <w:rFonts w:ascii="Verdana" w:hAnsi="Verdana"/>
                <w:b/>
                <w:bCs/>
                <w:sz w:val="22"/>
                <w:szCs w:val="22"/>
                <w:lang w:val="lt-LT"/>
              </w:rPr>
              <w:t xml:space="preserve">Visas personalas </w:t>
            </w:r>
          </w:p>
        </w:tc>
        <w:tc>
          <w:tcPr>
            <w:tcW w:w="571" w:type="dxa"/>
            <w:tcBorders>
              <w:top w:val="nil"/>
              <w:left w:val="nil"/>
              <w:bottom w:val="nil"/>
              <w:right w:val="nil"/>
            </w:tcBorders>
            <w:shd w:val="clear" w:color="auto" w:fill="auto"/>
            <w:noWrap/>
            <w:vAlign w:val="center"/>
            <w:hideMark/>
          </w:tcPr>
          <w:p w14:paraId="7A906F9A"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Eil.</w:t>
            </w:r>
          </w:p>
        </w:tc>
        <w:tc>
          <w:tcPr>
            <w:tcW w:w="574" w:type="dxa"/>
            <w:vMerge w:val="restart"/>
            <w:tcBorders>
              <w:top w:val="nil"/>
              <w:left w:val="single" w:sz="4" w:space="0" w:color="auto"/>
              <w:bottom w:val="single" w:sz="4" w:space="0" w:color="000000"/>
              <w:right w:val="nil"/>
            </w:tcBorders>
            <w:shd w:val="clear" w:color="auto" w:fill="auto"/>
            <w:vAlign w:val="center"/>
            <w:hideMark/>
          </w:tcPr>
          <w:p w14:paraId="12166BCC"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Dirba visą darb</w:t>
            </w:r>
            <w:r w:rsidRPr="00682C4B">
              <w:rPr>
                <w:rFonts w:ascii="Verdana" w:hAnsi="Verdana"/>
                <w:sz w:val="22"/>
                <w:szCs w:val="22"/>
                <w:lang w:val="lt-LT"/>
              </w:rPr>
              <w:lastRenderedPageBreak/>
              <w:t>o laiką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132268A"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lastRenderedPageBreak/>
              <w:t>Dirba ne visą darbo laiką</w:t>
            </w:r>
          </w:p>
        </w:tc>
        <w:tc>
          <w:tcPr>
            <w:tcW w:w="1098" w:type="dxa"/>
            <w:vMerge w:val="restart"/>
            <w:tcBorders>
              <w:top w:val="nil"/>
              <w:left w:val="nil"/>
              <w:bottom w:val="single" w:sz="4" w:space="0" w:color="000000"/>
              <w:right w:val="nil"/>
            </w:tcBorders>
            <w:shd w:val="clear" w:color="auto" w:fill="auto"/>
            <w:vAlign w:val="center"/>
            <w:hideMark/>
          </w:tcPr>
          <w:p w14:paraId="7BFD1CCC"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Vidutinis sąlyginis darbuot</w:t>
            </w:r>
            <w:r w:rsidRPr="00682C4B">
              <w:rPr>
                <w:rFonts w:ascii="Verdana" w:hAnsi="Verdana"/>
                <w:sz w:val="22"/>
                <w:szCs w:val="22"/>
                <w:lang w:val="lt-LT"/>
              </w:rPr>
              <w:lastRenderedPageBreak/>
              <w:t>ojų skaičius</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846C5CE"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lastRenderedPageBreak/>
              <w:t xml:space="preserve">Dirba visą darbo </w:t>
            </w:r>
            <w:r w:rsidRPr="00682C4B">
              <w:rPr>
                <w:rFonts w:ascii="Verdana" w:hAnsi="Verdana"/>
                <w:sz w:val="22"/>
                <w:szCs w:val="22"/>
                <w:lang w:val="lt-LT"/>
              </w:rPr>
              <w:lastRenderedPageBreak/>
              <w:t>laiką</w:t>
            </w:r>
          </w:p>
        </w:tc>
        <w:tc>
          <w:tcPr>
            <w:tcW w:w="850" w:type="dxa"/>
            <w:vMerge w:val="restart"/>
            <w:tcBorders>
              <w:top w:val="nil"/>
              <w:left w:val="nil"/>
              <w:bottom w:val="single" w:sz="4" w:space="0" w:color="000000"/>
              <w:right w:val="nil"/>
            </w:tcBorders>
            <w:shd w:val="clear" w:color="auto" w:fill="auto"/>
            <w:vAlign w:val="center"/>
            <w:hideMark/>
          </w:tcPr>
          <w:p w14:paraId="0E1F536B"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lastRenderedPageBreak/>
              <w:t>Dirba ne visą darbo laiką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2CFF2B5"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Vidutinis sąlyginis darbuot</w:t>
            </w:r>
            <w:r w:rsidRPr="00682C4B">
              <w:rPr>
                <w:rFonts w:ascii="Verdana" w:hAnsi="Verdana"/>
                <w:sz w:val="22"/>
                <w:szCs w:val="22"/>
                <w:lang w:val="lt-LT"/>
              </w:rPr>
              <w:lastRenderedPageBreak/>
              <w:t>ojų skaičius</w:t>
            </w:r>
          </w:p>
        </w:tc>
        <w:tc>
          <w:tcPr>
            <w:tcW w:w="709" w:type="dxa"/>
            <w:tcBorders>
              <w:top w:val="nil"/>
              <w:left w:val="single" w:sz="4" w:space="0" w:color="auto"/>
              <w:right w:val="single" w:sz="4" w:space="0" w:color="auto"/>
            </w:tcBorders>
            <w:vAlign w:val="center"/>
          </w:tcPr>
          <w:p w14:paraId="5E9EE47E" w14:textId="77777777" w:rsidR="000D4E1F" w:rsidRPr="00682C4B" w:rsidRDefault="000D4E1F" w:rsidP="00C477CB">
            <w:pPr>
              <w:jc w:val="center"/>
              <w:rPr>
                <w:rFonts w:ascii="Verdana" w:hAnsi="Verdana"/>
                <w:sz w:val="22"/>
                <w:szCs w:val="22"/>
                <w:lang w:val="lt-LT"/>
              </w:rPr>
            </w:pPr>
          </w:p>
        </w:tc>
        <w:tc>
          <w:tcPr>
            <w:tcW w:w="709" w:type="dxa"/>
            <w:tcBorders>
              <w:top w:val="nil"/>
              <w:left w:val="single" w:sz="4" w:space="0" w:color="auto"/>
              <w:right w:val="single" w:sz="4" w:space="0" w:color="auto"/>
            </w:tcBorders>
            <w:vAlign w:val="center"/>
          </w:tcPr>
          <w:p w14:paraId="10B08E58" w14:textId="77777777" w:rsidR="000D4E1F" w:rsidRPr="00682C4B" w:rsidRDefault="000D4E1F" w:rsidP="00C477CB">
            <w:pPr>
              <w:jc w:val="center"/>
              <w:rPr>
                <w:rFonts w:ascii="Verdana" w:hAnsi="Verdana"/>
                <w:sz w:val="22"/>
                <w:szCs w:val="22"/>
                <w:lang w:val="lt-LT"/>
              </w:rPr>
            </w:pPr>
          </w:p>
        </w:tc>
        <w:tc>
          <w:tcPr>
            <w:tcW w:w="1134" w:type="dxa"/>
            <w:tcBorders>
              <w:top w:val="nil"/>
              <w:left w:val="single" w:sz="4" w:space="0" w:color="auto"/>
              <w:right w:val="single" w:sz="4" w:space="0" w:color="auto"/>
            </w:tcBorders>
            <w:vAlign w:val="center"/>
          </w:tcPr>
          <w:p w14:paraId="60516DE7" w14:textId="77777777" w:rsidR="000D4E1F" w:rsidRPr="00682C4B" w:rsidRDefault="000D4E1F" w:rsidP="00C477CB">
            <w:pPr>
              <w:jc w:val="center"/>
              <w:rPr>
                <w:rFonts w:ascii="Verdana" w:hAnsi="Verdana"/>
                <w:sz w:val="22"/>
                <w:szCs w:val="22"/>
                <w:lang w:val="lt-LT"/>
              </w:rPr>
            </w:pPr>
          </w:p>
        </w:tc>
        <w:tc>
          <w:tcPr>
            <w:tcW w:w="709" w:type="dxa"/>
            <w:vMerge w:val="restart"/>
            <w:tcBorders>
              <w:top w:val="nil"/>
              <w:left w:val="single" w:sz="4" w:space="0" w:color="auto"/>
              <w:right w:val="single" w:sz="4" w:space="0" w:color="auto"/>
            </w:tcBorders>
            <w:vAlign w:val="center"/>
          </w:tcPr>
          <w:p w14:paraId="2EF23001"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 xml:space="preserve">Dirba visą darbo </w:t>
            </w:r>
            <w:r w:rsidRPr="00682C4B">
              <w:rPr>
                <w:rFonts w:ascii="Verdana" w:hAnsi="Verdana"/>
                <w:sz w:val="22"/>
                <w:szCs w:val="22"/>
                <w:lang w:val="lt-LT"/>
              </w:rPr>
              <w:lastRenderedPageBreak/>
              <w:t>laiką</w:t>
            </w:r>
          </w:p>
        </w:tc>
        <w:tc>
          <w:tcPr>
            <w:tcW w:w="708" w:type="dxa"/>
            <w:vMerge w:val="restart"/>
            <w:tcBorders>
              <w:top w:val="nil"/>
              <w:left w:val="single" w:sz="4" w:space="0" w:color="auto"/>
              <w:right w:val="single" w:sz="4" w:space="0" w:color="auto"/>
            </w:tcBorders>
            <w:vAlign w:val="center"/>
          </w:tcPr>
          <w:p w14:paraId="1C285E39"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lastRenderedPageBreak/>
              <w:t xml:space="preserve">Dirba ne visą darbo </w:t>
            </w:r>
            <w:r w:rsidRPr="00682C4B">
              <w:rPr>
                <w:rFonts w:ascii="Verdana" w:hAnsi="Verdana"/>
                <w:sz w:val="22"/>
                <w:szCs w:val="22"/>
                <w:lang w:val="lt-LT"/>
              </w:rPr>
              <w:lastRenderedPageBreak/>
              <w:t>laiką</w:t>
            </w:r>
          </w:p>
        </w:tc>
        <w:tc>
          <w:tcPr>
            <w:tcW w:w="1134" w:type="dxa"/>
            <w:vMerge w:val="restart"/>
            <w:tcBorders>
              <w:top w:val="nil"/>
              <w:left w:val="single" w:sz="4" w:space="0" w:color="auto"/>
              <w:right w:val="single" w:sz="4" w:space="0" w:color="auto"/>
            </w:tcBorders>
            <w:vAlign w:val="center"/>
          </w:tcPr>
          <w:p w14:paraId="53B36B9A"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lastRenderedPageBreak/>
              <w:t>Vidutinis sąlyginis darbuot</w:t>
            </w:r>
            <w:r w:rsidRPr="00682C4B">
              <w:rPr>
                <w:rFonts w:ascii="Verdana" w:hAnsi="Verdana"/>
                <w:sz w:val="22"/>
                <w:szCs w:val="22"/>
                <w:lang w:val="lt-LT"/>
              </w:rPr>
              <w:lastRenderedPageBreak/>
              <w:t>ojų skaičius</w:t>
            </w:r>
          </w:p>
        </w:tc>
      </w:tr>
      <w:tr w:rsidR="000D4E1F" w:rsidRPr="00682C4B" w14:paraId="43BCBEE0" w14:textId="77777777" w:rsidTr="005405DB">
        <w:trPr>
          <w:trHeight w:val="885"/>
        </w:trPr>
        <w:tc>
          <w:tcPr>
            <w:tcW w:w="2308" w:type="dxa"/>
            <w:gridSpan w:val="3"/>
            <w:tcBorders>
              <w:top w:val="nil"/>
              <w:left w:val="single" w:sz="4" w:space="0" w:color="auto"/>
              <w:bottom w:val="single" w:sz="4" w:space="0" w:color="auto"/>
              <w:right w:val="single" w:sz="4" w:space="0" w:color="000000"/>
            </w:tcBorders>
            <w:shd w:val="clear" w:color="auto" w:fill="auto"/>
            <w:noWrap/>
            <w:hideMark/>
          </w:tcPr>
          <w:p w14:paraId="4DF0DBF4" w14:textId="77777777" w:rsidR="000D4E1F" w:rsidRPr="00682C4B" w:rsidRDefault="000D4E1F" w:rsidP="00C477CB">
            <w:pPr>
              <w:jc w:val="center"/>
              <w:rPr>
                <w:rFonts w:ascii="Verdana" w:hAnsi="Verdana"/>
                <w:b/>
                <w:bCs/>
                <w:sz w:val="22"/>
                <w:szCs w:val="22"/>
                <w:lang w:val="lt-LT"/>
              </w:rPr>
            </w:pPr>
            <w:r w:rsidRPr="00682C4B">
              <w:rPr>
                <w:rFonts w:ascii="Verdana" w:hAnsi="Verdana"/>
                <w:b/>
                <w:bCs/>
                <w:sz w:val="22"/>
                <w:szCs w:val="22"/>
                <w:lang w:val="lt-LT"/>
              </w:rPr>
              <w:t>(pedagoginis ir nepedagoginis)</w:t>
            </w:r>
          </w:p>
        </w:tc>
        <w:tc>
          <w:tcPr>
            <w:tcW w:w="571" w:type="dxa"/>
            <w:tcBorders>
              <w:top w:val="nil"/>
              <w:left w:val="nil"/>
              <w:bottom w:val="nil"/>
              <w:right w:val="single" w:sz="4" w:space="0" w:color="auto"/>
            </w:tcBorders>
            <w:shd w:val="clear" w:color="auto" w:fill="auto"/>
            <w:noWrap/>
            <w:hideMark/>
          </w:tcPr>
          <w:p w14:paraId="2C32EC98"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Nr.</w:t>
            </w:r>
          </w:p>
        </w:tc>
        <w:tc>
          <w:tcPr>
            <w:tcW w:w="574" w:type="dxa"/>
            <w:vMerge/>
            <w:tcBorders>
              <w:top w:val="nil"/>
              <w:left w:val="single" w:sz="4" w:space="0" w:color="auto"/>
              <w:bottom w:val="single" w:sz="4" w:space="0" w:color="000000"/>
              <w:right w:val="nil"/>
            </w:tcBorders>
            <w:vAlign w:val="center"/>
            <w:hideMark/>
          </w:tcPr>
          <w:p w14:paraId="38AB4B9A" w14:textId="77777777" w:rsidR="000D4E1F" w:rsidRPr="00682C4B" w:rsidRDefault="000D4E1F" w:rsidP="00C477CB">
            <w:pPr>
              <w:rPr>
                <w:rFonts w:ascii="Verdana" w:hAnsi="Verdana"/>
                <w:sz w:val="22"/>
                <w:szCs w:val="22"/>
                <w:lang w:val="lt-LT"/>
              </w:rPr>
            </w:pPr>
          </w:p>
        </w:tc>
        <w:tc>
          <w:tcPr>
            <w:tcW w:w="851" w:type="dxa"/>
            <w:vMerge/>
            <w:tcBorders>
              <w:top w:val="nil"/>
              <w:left w:val="single" w:sz="4" w:space="0" w:color="auto"/>
              <w:bottom w:val="single" w:sz="4" w:space="0" w:color="000000"/>
              <w:right w:val="single" w:sz="4" w:space="0" w:color="auto"/>
            </w:tcBorders>
            <w:vAlign w:val="center"/>
            <w:hideMark/>
          </w:tcPr>
          <w:p w14:paraId="1E801842" w14:textId="77777777" w:rsidR="000D4E1F" w:rsidRPr="00682C4B" w:rsidRDefault="000D4E1F" w:rsidP="00C477CB">
            <w:pPr>
              <w:rPr>
                <w:rFonts w:ascii="Verdana" w:hAnsi="Verdana"/>
                <w:sz w:val="22"/>
                <w:szCs w:val="22"/>
                <w:lang w:val="lt-LT"/>
              </w:rPr>
            </w:pPr>
          </w:p>
        </w:tc>
        <w:tc>
          <w:tcPr>
            <w:tcW w:w="1098" w:type="dxa"/>
            <w:vMerge/>
            <w:tcBorders>
              <w:top w:val="nil"/>
              <w:left w:val="nil"/>
              <w:bottom w:val="single" w:sz="4" w:space="0" w:color="000000"/>
              <w:right w:val="nil"/>
            </w:tcBorders>
            <w:vAlign w:val="center"/>
            <w:hideMark/>
          </w:tcPr>
          <w:p w14:paraId="332F5021" w14:textId="77777777" w:rsidR="000D4E1F" w:rsidRPr="00682C4B" w:rsidRDefault="000D4E1F" w:rsidP="00C477CB">
            <w:pPr>
              <w:rPr>
                <w:rFonts w:ascii="Verdana" w:hAnsi="Verdana"/>
                <w:sz w:val="22"/>
                <w:szCs w:val="22"/>
                <w:lang w:val="lt-LT"/>
              </w:rPr>
            </w:pPr>
          </w:p>
        </w:tc>
        <w:tc>
          <w:tcPr>
            <w:tcW w:w="709" w:type="dxa"/>
            <w:vMerge/>
            <w:tcBorders>
              <w:top w:val="nil"/>
              <w:left w:val="single" w:sz="4" w:space="0" w:color="auto"/>
              <w:bottom w:val="single" w:sz="4" w:space="0" w:color="000000"/>
              <w:right w:val="single" w:sz="4" w:space="0" w:color="auto"/>
            </w:tcBorders>
            <w:vAlign w:val="center"/>
            <w:hideMark/>
          </w:tcPr>
          <w:p w14:paraId="3921C5A6" w14:textId="77777777" w:rsidR="000D4E1F" w:rsidRPr="00682C4B" w:rsidRDefault="000D4E1F" w:rsidP="00C477CB">
            <w:pPr>
              <w:rPr>
                <w:rFonts w:ascii="Verdana" w:hAnsi="Verdana"/>
                <w:sz w:val="22"/>
                <w:szCs w:val="22"/>
                <w:lang w:val="lt-LT"/>
              </w:rPr>
            </w:pPr>
          </w:p>
        </w:tc>
        <w:tc>
          <w:tcPr>
            <w:tcW w:w="850" w:type="dxa"/>
            <w:vMerge/>
            <w:tcBorders>
              <w:top w:val="nil"/>
              <w:left w:val="nil"/>
              <w:bottom w:val="single" w:sz="4" w:space="0" w:color="000000"/>
              <w:right w:val="nil"/>
            </w:tcBorders>
            <w:vAlign w:val="center"/>
            <w:hideMark/>
          </w:tcPr>
          <w:p w14:paraId="5FA84BF7" w14:textId="77777777" w:rsidR="000D4E1F" w:rsidRPr="00682C4B" w:rsidRDefault="000D4E1F" w:rsidP="00C477CB">
            <w:pPr>
              <w:rPr>
                <w:rFonts w:ascii="Verdana" w:hAnsi="Verdana"/>
                <w:sz w:val="22"/>
                <w:szCs w:val="22"/>
                <w:lang w:val="lt-LT"/>
              </w:rPr>
            </w:pPr>
          </w:p>
        </w:tc>
        <w:tc>
          <w:tcPr>
            <w:tcW w:w="1134" w:type="dxa"/>
            <w:vMerge/>
            <w:tcBorders>
              <w:top w:val="nil"/>
              <w:left w:val="single" w:sz="4" w:space="0" w:color="auto"/>
              <w:bottom w:val="single" w:sz="4" w:space="0" w:color="000000"/>
              <w:right w:val="single" w:sz="4" w:space="0" w:color="auto"/>
            </w:tcBorders>
            <w:vAlign w:val="center"/>
            <w:hideMark/>
          </w:tcPr>
          <w:p w14:paraId="56773AB1" w14:textId="77777777" w:rsidR="000D4E1F" w:rsidRPr="00682C4B" w:rsidRDefault="000D4E1F" w:rsidP="00C477CB">
            <w:pPr>
              <w:rPr>
                <w:rFonts w:ascii="Verdana" w:hAnsi="Verdana"/>
                <w:sz w:val="22"/>
                <w:szCs w:val="22"/>
                <w:lang w:val="lt-LT"/>
              </w:rPr>
            </w:pPr>
          </w:p>
        </w:tc>
        <w:tc>
          <w:tcPr>
            <w:tcW w:w="709" w:type="dxa"/>
            <w:tcBorders>
              <w:left w:val="single" w:sz="4" w:space="0" w:color="auto"/>
              <w:bottom w:val="single" w:sz="4" w:space="0" w:color="auto"/>
              <w:right w:val="single" w:sz="4" w:space="0" w:color="auto"/>
            </w:tcBorders>
          </w:tcPr>
          <w:p w14:paraId="37136AB9"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 xml:space="preserve">Dirba visą darbo </w:t>
            </w:r>
            <w:r w:rsidRPr="00682C4B">
              <w:rPr>
                <w:rFonts w:ascii="Verdana" w:hAnsi="Verdana"/>
                <w:sz w:val="22"/>
                <w:szCs w:val="22"/>
                <w:lang w:val="lt-LT"/>
              </w:rPr>
              <w:lastRenderedPageBreak/>
              <w:t>laiką</w:t>
            </w:r>
          </w:p>
        </w:tc>
        <w:tc>
          <w:tcPr>
            <w:tcW w:w="709" w:type="dxa"/>
            <w:tcBorders>
              <w:left w:val="single" w:sz="4" w:space="0" w:color="auto"/>
              <w:bottom w:val="single" w:sz="4" w:space="0" w:color="auto"/>
              <w:right w:val="single" w:sz="4" w:space="0" w:color="auto"/>
            </w:tcBorders>
          </w:tcPr>
          <w:p w14:paraId="7EF20D8D"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lastRenderedPageBreak/>
              <w:t xml:space="preserve">Dirba ne visą darbo </w:t>
            </w:r>
            <w:r w:rsidRPr="00682C4B">
              <w:rPr>
                <w:rFonts w:ascii="Verdana" w:hAnsi="Verdana"/>
                <w:sz w:val="22"/>
                <w:szCs w:val="22"/>
                <w:lang w:val="lt-LT"/>
              </w:rPr>
              <w:lastRenderedPageBreak/>
              <w:t>laiką</w:t>
            </w:r>
          </w:p>
        </w:tc>
        <w:tc>
          <w:tcPr>
            <w:tcW w:w="1134" w:type="dxa"/>
            <w:tcBorders>
              <w:left w:val="single" w:sz="4" w:space="0" w:color="auto"/>
              <w:bottom w:val="single" w:sz="4" w:space="0" w:color="auto"/>
              <w:right w:val="single" w:sz="4" w:space="0" w:color="auto"/>
            </w:tcBorders>
          </w:tcPr>
          <w:p w14:paraId="26FECBF7"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lastRenderedPageBreak/>
              <w:t>Vidutinis sąlyginis darbuot</w:t>
            </w:r>
            <w:r w:rsidRPr="00682C4B">
              <w:rPr>
                <w:rFonts w:ascii="Verdana" w:hAnsi="Verdana"/>
                <w:sz w:val="22"/>
                <w:szCs w:val="22"/>
                <w:lang w:val="lt-LT"/>
              </w:rPr>
              <w:lastRenderedPageBreak/>
              <w:t>ojų skaičius</w:t>
            </w:r>
          </w:p>
        </w:tc>
        <w:tc>
          <w:tcPr>
            <w:tcW w:w="709" w:type="dxa"/>
            <w:vMerge/>
            <w:tcBorders>
              <w:left w:val="single" w:sz="4" w:space="0" w:color="auto"/>
              <w:bottom w:val="single" w:sz="4" w:space="0" w:color="auto"/>
              <w:right w:val="single" w:sz="4" w:space="0" w:color="auto"/>
            </w:tcBorders>
          </w:tcPr>
          <w:p w14:paraId="17E39262" w14:textId="77777777" w:rsidR="000D4E1F" w:rsidRPr="00682C4B" w:rsidRDefault="000D4E1F" w:rsidP="00C477CB">
            <w:pPr>
              <w:rPr>
                <w:rFonts w:ascii="Verdana" w:hAnsi="Verdana"/>
                <w:sz w:val="22"/>
                <w:szCs w:val="22"/>
                <w:lang w:val="lt-LT"/>
              </w:rPr>
            </w:pPr>
          </w:p>
        </w:tc>
        <w:tc>
          <w:tcPr>
            <w:tcW w:w="708" w:type="dxa"/>
            <w:vMerge/>
            <w:tcBorders>
              <w:left w:val="single" w:sz="4" w:space="0" w:color="auto"/>
              <w:bottom w:val="single" w:sz="4" w:space="0" w:color="auto"/>
              <w:right w:val="single" w:sz="4" w:space="0" w:color="auto"/>
            </w:tcBorders>
          </w:tcPr>
          <w:p w14:paraId="1073704D" w14:textId="77777777" w:rsidR="000D4E1F" w:rsidRPr="00682C4B" w:rsidRDefault="000D4E1F" w:rsidP="00C477CB">
            <w:pPr>
              <w:rPr>
                <w:rFonts w:ascii="Verdana" w:hAnsi="Verdana"/>
                <w:sz w:val="22"/>
                <w:szCs w:val="22"/>
                <w:lang w:val="lt-LT"/>
              </w:rPr>
            </w:pPr>
          </w:p>
        </w:tc>
        <w:tc>
          <w:tcPr>
            <w:tcW w:w="1134" w:type="dxa"/>
            <w:vMerge/>
            <w:tcBorders>
              <w:left w:val="single" w:sz="4" w:space="0" w:color="auto"/>
              <w:bottom w:val="single" w:sz="4" w:space="0" w:color="auto"/>
              <w:right w:val="single" w:sz="4" w:space="0" w:color="auto"/>
            </w:tcBorders>
          </w:tcPr>
          <w:p w14:paraId="37A80461" w14:textId="77777777" w:rsidR="000D4E1F" w:rsidRPr="00682C4B" w:rsidRDefault="000D4E1F" w:rsidP="00C477CB">
            <w:pPr>
              <w:rPr>
                <w:rFonts w:ascii="Verdana" w:hAnsi="Verdana"/>
                <w:sz w:val="22"/>
                <w:szCs w:val="22"/>
                <w:lang w:val="lt-LT"/>
              </w:rPr>
            </w:pPr>
          </w:p>
        </w:tc>
      </w:tr>
      <w:tr w:rsidR="000D4E1F" w:rsidRPr="00682C4B" w14:paraId="0EBE96C5" w14:textId="77777777" w:rsidTr="005405DB">
        <w:trPr>
          <w:trHeight w:val="255"/>
        </w:trPr>
        <w:tc>
          <w:tcPr>
            <w:tcW w:w="2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F375B6"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A</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8F794E5"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B</w:t>
            </w:r>
          </w:p>
        </w:tc>
        <w:tc>
          <w:tcPr>
            <w:tcW w:w="574" w:type="dxa"/>
            <w:tcBorders>
              <w:top w:val="nil"/>
              <w:left w:val="nil"/>
              <w:bottom w:val="single" w:sz="4" w:space="0" w:color="auto"/>
              <w:right w:val="nil"/>
            </w:tcBorders>
            <w:shd w:val="clear" w:color="auto" w:fill="auto"/>
            <w:noWrap/>
            <w:vAlign w:val="center"/>
            <w:hideMark/>
          </w:tcPr>
          <w:p w14:paraId="3D17DD7F"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9935D7"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2</w:t>
            </w:r>
          </w:p>
        </w:tc>
        <w:tc>
          <w:tcPr>
            <w:tcW w:w="1098" w:type="dxa"/>
            <w:tcBorders>
              <w:top w:val="nil"/>
              <w:left w:val="nil"/>
              <w:bottom w:val="single" w:sz="4" w:space="0" w:color="auto"/>
              <w:right w:val="nil"/>
            </w:tcBorders>
            <w:shd w:val="clear" w:color="auto" w:fill="auto"/>
            <w:noWrap/>
            <w:vAlign w:val="center"/>
            <w:hideMark/>
          </w:tcPr>
          <w:p w14:paraId="2BB357BE"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39D750"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4</w:t>
            </w:r>
          </w:p>
        </w:tc>
        <w:tc>
          <w:tcPr>
            <w:tcW w:w="850" w:type="dxa"/>
            <w:tcBorders>
              <w:top w:val="nil"/>
              <w:left w:val="nil"/>
              <w:bottom w:val="single" w:sz="4" w:space="0" w:color="auto"/>
              <w:right w:val="nil"/>
            </w:tcBorders>
            <w:shd w:val="clear" w:color="auto" w:fill="auto"/>
            <w:noWrap/>
            <w:vAlign w:val="center"/>
            <w:hideMark/>
          </w:tcPr>
          <w:p w14:paraId="3805CFE3"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04F74E"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6</w:t>
            </w:r>
          </w:p>
        </w:tc>
        <w:tc>
          <w:tcPr>
            <w:tcW w:w="709" w:type="dxa"/>
            <w:tcBorders>
              <w:top w:val="single" w:sz="4" w:space="0" w:color="auto"/>
              <w:left w:val="nil"/>
              <w:bottom w:val="single" w:sz="4" w:space="0" w:color="auto"/>
              <w:right w:val="single" w:sz="4" w:space="0" w:color="auto"/>
            </w:tcBorders>
            <w:vAlign w:val="center"/>
          </w:tcPr>
          <w:p w14:paraId="23903BE3"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7</w:t>
            </w:r>
          </w:p>
        </w:tc>
        <w:tc>
          <w:tcPr>
            <w:tcW w:w="709" w:type="dxa"/>
            <w:tcBorders>
              <w:top w:val="single" w:sz="4" w:space="0" w:color="auto"/>
              <w:left w:val="single" w:sz="4" w:space="0" w:color="auto"/>
              <w:bottom w:val="single" w:sz="4" w:space="0" w:color="auto"/>
              <w:right w:val="single" w:sz="4" w:space="0" w:color="auto"/>
            </w:tcBorders>
            <w:vAlign w:val="center"/>
          </w:tcPr>
          <w:p w14:paraId="6F56310E"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8</w:t>
            </w:r>
          </w:p>
        </w:tc>
        <w:tc>
          <w:tcPr>
            <w:tcW w:w="1134" w:type="dxa"/>
            <w:tcBorders>
              <w:top w:val="single" w:sz="4" w:space="0" w:color="auto"/>
              <w:left w:val="single" w:sz="4" w:space="0" w:color="auto"/>
              <w:bottom w:val="single" w:sz="4" w:space="0" w:color="auto"/>
              <w:right w:val="single" w:sz="4" w:space="0" w:color="auto"/>
            </w:tcBorders>
            <w:vAlign w:val="center"/>
          </w:tcPr>
          <w:p w14:paraId="58A4CBC3"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9</w:t>
            </w:r>
          </w:p>
        </w:tc>
        <w:tc>
          <w:tcPr>
            <w:tcW w:w="709" w:type="dxa"/>
            <w:tcBorders>
              <w:top w:val="single" w:sz="4" w:space="0" w:color="auto"/>
              <w:left w:val="single" w:sz="4" w:space="0" w:color="auto"/>
              <w:bottom w:val="single" w:sz="4" w:space="0" w:color="auto"/>
              <w:right w:val="single" w:sz="4" w:space="0" w:color="auto"/>
            </w:tcBorders>
            <w:vAlign w:val="center"/>
          </w:tcPr>
          <w:p w14:paraId="4529E469"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10</w:t>
            </w:r>
          </w:p>
        </w:tc>
        <w:tc>
          <w:tcPr>
            <w:tcW w:w="708" w:type="dxa"/>
            <w:tcBorders>
              <w:top w:val="single" w:sz="4" w:space="0" w:color="auto"/>
              <w:left w:val="single" w:sz="4" w:space="0" w:color="auto"/>
              <w:bottom w:val="single" w:sz="4" w:space="0" w:color="auto"/>
              <w:right w:val="single" w:sz="4" w:space="0" w:color="auto"/>
            </w:tcBorders>
            <w:vAlign w:val="center"/>
          </w:tcPr>
          <w:p w14:paraId="732C718C"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B0D0D29"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12</w:t>
            </w:r>
          </w:p>
        </w:tc>
      </w:tr>
      <w:tr w:rsidR="000D4E1F" w:rsidRPr="00682C4B" w14:paraId="5DFAC546" w14:textId="77777777" w:rsidTr="005405DB">
        <w:trPr>
          <w:trHeight w:val="255"/>
        </w:trPr>
        <w:tc>
          <w:tcPr>
            <w:tcW w:w="2036" w:type="dxa"/>
            <w:gridSpan w:val="2"/>
            <w:tcBorders>
              <w:top w:val="nil"/>
              <w:left w:val="single" w:sz="4" w:space="0" w:color="auto"/>
              <w:bottom w:val="nil"/>
              <w:right w:val="nil"/>
            </w:tcBorders>
            <w:shd w:val="clear" w:color="auto" w:fill="auto"/>
            <w:noWrap/>
            <w:vAlign w:val="bottom"/>
            <w:hideMark/>
          </w:tcPr>
          <w:p w14:paraId="40AAB1DF" w14:textId="77777777" w:rsidR="000D4E1F" w:rsidRPr="00682C4B" w:rsidRDefault="000D4E1F" w:rsidP="00C477CB">
            <w:pPr>
              <w:rPr>
                <w:rFonts w:ascii="Verdana" w:hAnsi="Verdana"/>
                <w:b/>
                <w:bCs/>
                <w:sz w:val="22"/>
                <w:szCs w:val="22"/>
                <w:lang w:val="lt-LT"/>
              </w:rPr>
            </w:pPr>
            <w:r w:rsidRPr="00682C4B">
              <w:rPr>
                <w:rFonts w:ascii="Verdana" w:hAnsi="Verdana"/>
                <w:b/>
                <w:bCs/>
                <w:sz w:val="22"/>
                <w:szCs w:val="22"/>
                <w:lang w:val="lt-LT"/>
              </w:rPr>
              <w:t>Mokymo ir kitas personalas</w:t>
            </w:r>
          </w:p>
        </w:tc>
        <w:tc>
          <w:tcPr>
            <w:tcW w:w="272" w:type="dxa"/>
            <w:tcBorders>
              <w:top w:val="nil"/>
              <w:left w:val="nil"/>
              <w:bottom w:val="nil"/>
              <w:right w:val="single" w:sz="4" w:space="0" w:color="auto"/>
            </w:tcBorders>
            <w:shd w:val="clear" w:color="auto" w:fill="auto"/>
            <w:noWrap/>
            <w:vAlign w:val="bottom"/>
            <w:hideMark/>
          </w:tcPr>
          <w:p w14:paraId="6F769B97"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 </w:t>
            </w:r>
          </w:p>
        </w:tc>
        <w:tc>
          <w:tcPr>
            <w:tcW w:w="571" w:type="dxa"/>
            <w:tcBorders>
              <w:top w:val="nil"/>
              <w:left w:val="nil"/>
              <w:bottom w:val="nil"/>
              <w:right w:val="single" w:sz="4" w:space="0" w:color="auto"/>
            </w:tcBorders>
            <w:shd w:val="clear" w:color="auto" w:fill="auto"/>
            <w:noWrap/>
            <w:vAlign w:val="bottom"/>
            <w:hideMark/>
          </w:tcPr>
          <w:p w14:paraId="343BD90E" w14:textId="77777777" w:rsidR="000D4E1F" w:rsidRPr="00682C4B" w:rsidRDefault="000D4E1F" w:rsidP="00C477CB">
            <w:pPr>
              <w:jc w:val="center"/>
              <w:rPr>
                <w:rFonts w:ascii="Verdana" w:hAnsi="Verdana"/>
                <w:sz w:val="22"/>
                <w:szCs w:val="22"/>
                <w:lang w:val="lt-LT"/>
              </w:rPr>
            </w:pPr>
            <w:r w:rsidRPr="00682C4B">
              <w:rPr>
                <w:rFonts w:ascii="Verdana" w:hAnsi="Verdana"/>
                <w:sz w:val="22"/>
                <w:szCs w:val="22"/>
                <w:lang w:val="lt-LT"/>
              </w:rPr>
              <w:t> </w:t>
            </w:r>
          </w:p>
        </w:tc>
        <w:tc>
          <w:tcPr>
            <w:tcW w:w="57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02C8D2" w14:textId="77777777" w:rsidR="000D4E1F" w:rsidRPr="00682C4B" w:rsidRDefault="000D4E1F" w:rsidP="00C477CB">
            <w:pPr>
              <w:jc w:val="right"/>
              <w:rPr>
                <w:rFonts w:ascii="Verdana" w:hAnsi="Verdana"/>
                <w:sz w:val="22"/>
                <w:szCs w:val="22"/>
                <w:lang w:val="lt-LT"/>
              </w:rPr>
            </w:pPr>
            <w:r w:rsidRPr="00682C4B">
              <w:rPr>
                <w:rFonts w:ascii="Verdana" w:hAnsi="Verdana"/>
                <w:sz w:val="22"/>
                <w:szCs w:val="22"/>
                <w:lang w:val="lt-LT"/>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DF1F38" w14:textId="77777777" w:rsidR="000D4E1F" w:rsidRPr="00682C4B" w:rsidRDefault="000D4E1F" w:rsidP="00C477CB">
            <w:pPr>
              <w:jc w:val="right"/>
              <w:rPr>
                <w:rFonts w:ascii="Verdana" w:hAnsi="Verdana"/>
                <w:sz w:val="22"/>
                <w:szCs w:val="22"/>
                <w:lang w:val="lt-LT"/>
              </w:rPr>
            </w:pPr>
            <w:r w:rsidRPr="00682C4B">
              <w:rPr>
                <w:rFonts w:ascii="Verdana" w:hAnsi="Verdana"/>
                <w:sz w:val="22"/>
                <w:szCs w:val="22"/>
                <w:lang w:val="lt-LT"/>
              </w:rPr>
              <w:t> </w:t>
            </w:r>
          </w:p>
        </w:tc>
        <w:tc>
          <w:tcPr>
            <w:tcW w:w="109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BD75CB" w14:textId="77777777" w:rsidR="000D4E1F" w:rsidRPr="00682C4B" w:rsidRDefault="000D4E1F" w:rsidP="00C477CB">
            <w:pPr>
              <w:jc w:val="right"/>
              <w:rPr>
                <w:rFonts w:ascii="Verdana" w:hAnsi="Verdana"/>
                <w:b/>
                <w:bCs/>
                <w:sz w:val="22"/>
                <w:szCs w:val="22"/>
                <w:lang w:val="lt-LT"/>
              </w:rPr>
            </w:pPr>
            <w:r w:rsidRPr="00682C4B">
              <w:rPr>
                <w:rFonts w:ascii="Verdana" w:hAnsi="Verdana"/>
                <w:b/>
                <w:bCs/>
                <w:sz w:val="22"/>
                <w:szCs w:val="22"/>
                <w:lang w:val="lt-LT"/>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5CCD67" w14:textId="77777777" w:rsidR="000D4E1F" w:rsidRPr="00682C4B" w:rsidRDefault="000D4E1F" w:rsidP="00C477CB">
            <w:pPr>
              <w:jc w:val="right"/>
              <w:rPr>
                <w:rFonts w:ascii="Verdana" w:hAnsi="Verdana"/>
                <w:sz w:val="22"/>
                <w:szCs w:val="22"/>
                <w:lang w:val="lt-LT"/>
              </w:rPr>
            </w:pPr>
            <w:r w:rsidRPr="00682C4B">
              <w:rPr>
                <w:rFonts w:ascii="Verdana" w:hAnsi="Verdana"/>
                <w:sz w:val="22"/>
                <w:szCs w:val="22"/>
                <w:lang w:val="lt-LT"/>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40CE65" w14:textId="77777777" w:rsidR="000D4E1F" w:rsidRPr="00682C4B" w:rsidRDefault="000D4E1F" w:rsidP="00C477CB">
            <w:pPr>
              <w:jc w:val="right"/>
              <w:rPr>
                <w:rFonts w:ascii="Verdana" w:hAnsi="Verdana"/>
                <w:sz w:val="22"/>
                <w:szCs w:val="22"/>
                <w:lang w:val="lt-LT"/>
              </w:rPr>
            </w:pPr>
            <w:r w:rsidRPr="00682C4B">
              <w:rPr>
                <w:rFonts w:ascii="Verdana" w:hAnsi="Verdana"/>
                <w:sz w:val="22"/>
                <w:szCs w:val="22"/>
                <w:lang w:val="lt-LT"/>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3ADAB3" w14:textId="77777777" w:rsidR="000D4E1F" w:rsidRPr="00682C4B" w:rsidRDefault="000D4E1F" w:rsidP="00C477CB">
            <w:pPr>
              <w:jc w:val="right"/>
              <w:rPr>
                <w:rFonts w:ascii="Verdana" w:hAnsi="Verdana"/>
                <w:b/>
                <w:bCs/>
                <w:sz w:val="22"/>
                <w:szCs w:val="22"/>
                <w:lang w:val="lt-LT"/>
              </w:rPr>
            </w:pPr>
            <w:r w:rsidRPr="00682C4B">
              <w:rPr>
                <w:rFonts w:ascii="Verdana" w:hAnsi="Verdana"/>
                <w:b/>
                <w:bCs/>
                <w:sz w:val="22"/>
                <w:szCs w:val="22"/>
                <w:lang w:val="lt-LT"/>
              </w:rPr>
              <w:t> </w:t>
            </w:r>
          </w:p>
        </w:tc>
        <w:tc>
          <w:tcPr>
            <w:tcW w:w="709" w:type="dxa"/>
            <w:tcBorders>
              <w:top w:val="nil"/>
              <w:left w:val="single" w:sz="4" w:space="0" w:color="auto"/>
              <w:right w:val="single" w:sz="4" w:space="0" w:color="auto"/>
            </w:tcBorders>
          </w:tcPr>
          <w:p w14:paraId="19E4CEFC" w14:textId="77777777" w:rsidR="000D4E1F" w:rsidRPr="00682C4B" w:rsidRDefault="000D4E1F" w:rsidP="00C477CB">
            <w:pPr>
              <w:rPr>
                <w:rFonts w:ascii="Verdana" w:hAnsi="Verdana"/>
                <w:sz w:val="22"/>
                <w:szCs w:val="22"/>
                <w:lang w:val="lt-LT"/>
              </w:rPr>
            </w:pPr>
          </w:p>
        </w:tc>
        <w:tc>
          <w:tcPr>
            <w:tcW w:w="709" w:type="dxa"/>
            <w:tcBorders>
              <w:top w:val="nil"/>
              <w:left w:val="single" w:sz="4" w:space="0" w:color="auto"/>
              <w:right w:val="single" w:sz="4" w:space="0" w:color="auto"/>
            </w:tcBorders>
          </w:tcPr>
          <w:p w14:paraId="79E557BC" w14:textId="77777777" w:rsidR="000D4E1F" w:rsidRPr="00682C4B" w:rsidRDefault="000D4E1F" w:rsidP="00C477CB">
            <w:pPr>
              <w:rPr>
                <w:rFonts w:ascii="Verdana" w:hAnsi="Verdana"/>
                <w:sz w:val="22"/>
                <w:szCs w:val="22"/>
                <w:lang w:val="lt-LT"/>
              </w:rPr>
            </w:pPr>
          </w:p>
        </w:tc>
        <w:tc>
          <w:tcPr>
            <w:tcW w:w="1134" w:type="dxa"/>
            <w:tcBorders>
              <w:top w:val="nil"/>
              <w:left w:val="single" w:sz="4" w:space="0" w:color="auto"/>
              <w:right w:val="single" w:sz="4" w:space="0" w:color="auto"/>
            </w:tcBorders>
          </w:tcPr>
          <w:p w14:paraId="6E63BE5B" w14:textId="77777777" w:rsidR="000D4E1F" w:rsidRPr="00682C4B" w:rsidRDefault="000D4E1F" w:rsidP="00C477CB">
            <w:pPr>
              <w:rPr>
                <w:rFonts w:ascii="Verdana" w:hAnsi="Verdana"/>
                <w:sz w:val="22"/>
                <w:szCs w:val="22"/>
                <w:lang w:val="lt-LT"/>
              </w:rPr>
            </w:pPr>
          </w:p>
        </w:tc>
        <w:tc>
          <w:tcPr>
            <w:tcW w:w="709" w:type="dxa"/>
            <w:tcBorders>
              <w:top w:val="nil"/>
              <w:left w:val="single" w:sz="4" w:space="0" w:color="auto"/>
              <w:right w:val="single" w:sz="4" w:space="0" w:color="auto"/>
            </w:tcBorders>
            <w:vAlign w:val="bottom"/>
          </w:tcPr>
          <w:p w14:paraId="038A9B07" w14:textId="77777777" w:rsidR="000D4E1F" w:rsidRPr="00682C4B" w:rsidRDefault="000D4E1F" w:rsidP="00C477CB">
            <w:pPr>
              <w:rPr>
                <w:rFonts w:ascii="Verdana" w:hAnsi="Verdana"/>
                <w:sz w:val="22"/>
                <w:szCs w:val="22"/>
                <w:lang w:val="lt-LT"/>
              </w:rPr>
            </w:pPr>
          </w:p>
        </w:tc>
        <w:tc>
          <w:tcPr>
            <w:tcW w:w="708" w:type="dxa"/>
            <w:tcBorders>
              <w:top w:val="nil"/>
              <w:left w:val="single" w:sz="4" w:space="0" w:color="auto"/>
              <w:right w:val="single" w:sz="4" w:space="0" w:color="auto"/>
            </w:tcBorders>
            <w:vAlign w:val="bottom"/>
          </w:tcPr>
          <w:p w14:paraId="776A19A8" w14:textId="77777777" w:rsidR="000D4E1F" w:rsidRPr="00682C4B" w:rsidRDefault="000D4E1F" w:rsidP="00C477CB">
            <w:pPr>
              <w:rPr>
                <w:rFonts w:ascii="Verdana" w:hAnsi="Verdana"/>
                <w:sz w:val="22"/>
                <w:szCs w:val="22"/>
                <w:lang w:val="lt-LT"/>
              </w:rPr>
            </w:pPr>
          </w:p>
        </w:tc>
        <w:tc>
          <w:tcPr>
            <w:tcW w:w="1134" w:type="dxa"/>
            <w:tcBorders>
              <w:top w:val="nil"/>
              <w:left w:val="single" w:sz="4" w:space="0" w:color="auto"/>
              <w:right w:val="single" w:sz="4" w:space="0" w:color="auto"/>
            </w:tcBorders>
            <w:vAlign w:val="bottom"/>
          </w:tcPr>
          <w:p w14:paraId="3C673220" w14:textId="77777777" w:rsidR="000D4E1F" w:rsidRPr="00682C4B" w:rsidRDefault="000D4E1F" w:rsidP="00C477CB">
            <w:pPr>
              <w:rPr>
                <w:rFonts w:ascii="Verdana" w:hAnsi="Verdana"/>
                <w:sz w:val="22"/>
                <w:szCs w:val="22"/>
                <w:lang w:val="lt-LT"/>
              </w:rPr>
            </w:pPr>
          </w:p>
        </w:tc>
      </w:tr>
      <w:tr w:rsidR="000D4E1F" w:rsidRPr="00682C4B" w14:paraId="5BC84B2F" w14:textId="77777777" w:rsidTr="005405DB">
        <w:trPr>
          <w:trHeight w:val="345"/>
        </w:trPr>
        <w:tc>
          <w:tcPr>
            <w:tcW w:w="1800" w:type="dxa"/>
            <w:tcBorders>
              <w:top w:val="nil"/>
              <w:left w:val="single" w:sz="4" w:space="0" w:color="auto"/>
              <w:bottom w:val="single" w:sz="4" w:space="0" w:color="auto"/>
              <w:right w:val="nil"/>
            </w:tcBorders>
            <w:shd w:val="clear" w:color="auto" w:fill="auto"/>
            <w:vAlign w:val="center"/>
            <w:hideMark/>
          </w:tcPr>
          <w:p w14:paraId="786EEB7D" w14:textId="77777777" w:rsidR="000D4E1F" w:rsidRPr="00682C4B" w:rsidRDefault="000D4E1F" w:rsidP="00C477CB">
            <w:pPr>
              <w:rPr>
                <w:rFonts w:ascii="Verdana" w:hAnsi="Verdana"/>
                <w:b/>
                <w:sz w:val="22"/>
                <w:szCs w:val="22"/>
                <w:lang w:val="lt-LT"/>
              </w:rPr>
            </w:pPr>
            <w:r w:rsidRPr="00682C4B">
              <w:rPr>
                <w:rFonts w:ascii="Verdana" w:hAnsi="Verdana"/>
                <w:b/>
                <w:sz w:val="22"/>
                <w:szCs w:val="22"/>
                <w:lang w:val="lt-LT"/>
              </w:rPr>
              <w:t>1. Mokytojai</w:t>
            </w:r>
          </w:p>
        </w:tc>
        <w:tc>
          <w:tcPr>
            <w:tcW w:w="236" w:type="dxa"/>
            <w:tcBorders>
              <w:top w:val="nil"/>
              <w:left w:val="nil"/>
              <w:bottom w:val="single" w:sz="4" w:space="0" w:color="auto"/>
              <w:right w:val="nil"/>
            </w:tcBorders>
            <w:shd w:val="clear" w:color="auto" w:fill="auto"/>
            <w:vAlign w:val="center"/>
            <w:hideMark/>
          </w:tcPr>
          <w:p w14:paraId="524D0B2D" w14:textId="77777777" w:rsidR="000D4E1F" w:rsidRPr="00682C4B" w:rsidRDefault="000D4E1F" w:rsidP="00C477CB">
            <w:pPr>
              <w:jc w:val="center"/>
              <w:rPr>
                <w:rFonts w:ascii="Verdana" w:hAnsi="Verdana"/>
                <w:b/>
                <w:sz w:val="22"/>
                <w:szCs w:val="22"/>
                <w:lang w:val="lt-LT"/>
              </w:rPr>
            </w:pPr>
          </w:p>
        </w:tc>
        <w:tc>
          <w:tcPr>
            <w:tcW w:w="272" w:type="dxa"/>
            <w:tcBorders>
              <w:top w:val="nil"/>
              <w:left w:val="nil"/>
              <w:bottom w:val="single" w:sz="4" w:space="0" w:color="auto"/>
              <w:right w:val="single" w:sz="4" w:space="0" w:color="auto"/>
            </w:tcBorders>
            <w:shd w:val="clear" w:color="auto" w:fill="auto"/>
            <w:vAlign w:val="center"/>
            <w:hideMark/>
          </w:tcPr>
          <w:p w14:paraId="70B2A56C" w14:textId="77777777" w:rsidR="000D4E1F" w:rsidRPr="00682C4B" w:rsidRDefault="000D4E1F" w:rsidP="00C477CB">
            <w:pPr>
              <w:jc w:val="center"/>
              <w:rPr>
                <w:rFonts w:ascii="Verdana" w:hAnsi="Verdana"/>
                <w:b/>
                <w:sz w:val="22"/>
                <w:szCs w:val="22"/>
                <w:lang w:val="lt-LT"/>
              </w:rPr>
            </w:pPr>
          </w:p>
        </w:tc>
        <w:tc>
          <w:tcPr>
            <w:tcW w:w="571" w:type="dxa"/>
            <w:tcBorders>
              <w:top w:val="nil"/>
              <w:left w:val="nil"/>
              <w:bottom w:val="single" w:sz="4" w:space="0" w:color="auto"/>
              <w:right w:val="single" w:sz="4" w:space="0" w:color="auto"/>
            </w:tcBorders>
            <w:shd w:val="clear" w:color="auto" w:fill="auto"/>
            <w:noWrap/>
            <w:vAlign w:val="center"/>
            <w:hideMark/>
          </w:tcPr>
          <w:p w14:paraId="1081058A" w14:textId="77777777" w:rsidR="000D4E1F" w:rsidRPr="00682C4B" w:rsidRDefault="000D4E1F" w:rsidP="00C477CB">
            <w:pPr>
              <w:jc w:val="center"/>
              <w:rPr>
                <w:rFonts w:ascii="Verdana" w:hAnsi="Verdana"/>
                <w:b/>
                <w:sz w:val="22"/>
                <w:szCs w:val="22"/>
                <w:lang w:val="lt-LT"/>
              </w:rPr>
            </w:pPr>
            <w:r w:rsidRPr="00682C4B">
              <w:rPr>
                <w:rFonts w:ascii="Verdana" w:hAnsi="Verdana"/>
                <w:b/>
                <w:sz w:val="22"/>
                <w:szCs w:val="22"/>
                <w:lang w:val="lt-LT"/>
              </w:rPr>
              <w:t>01</w:t>
            </w:r>
          </w:p>
        </w:tc>
        <w:tc>
          <w:tcPr>
            <w:tcW w:w="574" w:type="dxa"/>
            <w:vMerge/>
            <w:tcBorders>
              <w:top w:val="nil"/>
              <w:left w:val="single" w:sz="4" w:space="0" w:color="auto"/>
              <w:bottom w:val="single" w:sz="4" w:space="0" w:color="000000"/>
              <w:right w:val="single" w:sz="4" w:space="0" w:color="auto"/>
            </w:tcBorders>
            <w:vAlign w:val="center"/>
            <w:hideMark/>
          </w:tcPr>
          <w:p w14:paraId="40BE48CA" w14:textId="77777777" w:rsidR="000D4E1F" w:rsidRPr="00682C4B" w:rsidRDefault="000D4E1F" w:rsidP="00C477CB">
            <w:pPr>
              <w:jc w:val="center"/>
              <w:rPr>
                <w:rFonts w:ascii="Verdana" w:hAnsi="Verdana"/>
                <w:b/>
                <w:sz w:val="22"/>
                <w:szCs w:val="22"/>
                <w:lang w:val="lt-LT"/>
              </w:rPr>
            </w:pPr>
          </w:p>
        </w:tc>
        <w:tc>
          <w:tcPr>
            <w:tcW w:w="851" w:type="dxa"/>
            <w:vMerge/>
            <w:tcBorders>
              <w:top w:val="nil"/>
              <w:left w:val="single" w:sz="4" w:space="0" w:color="auto"/>
              <w:bottom w:val="single" w:sz="4" w:space="0" w:color="000000"/>
              <w:right w:val="single" w:sz="4" w:space="0" w:color="auto"/>
            </w:tcBorders>
            <w:vAlign w:val="center"/>
            <w:hideMark/>
          </w:tcPr>
          <w:p w14:paraId="5EFB3610" w14:textId="77777777" w:rsidR="000D4E1F" w:rsidRPr="00682C4B" w:rsidRDefault="000D4E1F" w:rsidP="00C477CB">
            <w:pPr>
              <w:jc w:val="center"/>
              <w:rPr>
                <w:rFonts w:ascii="Verdana" w:hAnsi="Verdana"/>
                <w:b/>
                <w:sz w:val="22"/>
                <w:szCs w:val="22"/>
                <w:lang w:val="lt-LT"/>
              </w:rPr>
            </w:pPr>
          </w:p>
        </w:tc>
        <w:tc>
          <w:tcPr>
            <w:tcW w:w="1098" w:type="dxa"/>
            <w:vMerge/>
            <w:tcBorders>
              <w:top w:val="nil"/>
              <w:left w:val="single" w:sz="4" w:space="0" w:color="auto"/>
              <w:bottom w:val="single" w:sz="4" w:space="0" w:color="000000"/>
              <w:right w:val="single" w:sz="4" w:space="0" w:color="auto"/>
            </w:tcBorders>
            <w:vAlign w:val="center"/>
            <w:hideMark/>
          </w:tcPr>
          <w:p w14:paraId="6655E4FE" w14:textId="77777777" w:rsidR="000D4E1F" w:rsidRPr="00682C4B" w:rsidRDefault="000D4E1F" w:rsidP="00C477CB">
            <w:pPr>
              <w:jc w:val="center"/>
              <w:rPr>
                <w:rFonts w:ascii="Verdana" w:hAnsi="Verdana"/>
                <w:b/>
                <w:bCs/>
                <w:sz w:val="22"/>
                <w:szCs w:val="22"/>
                <w:lang w:val="lt-LT"/>
              </w:rPr>
            </w:pPr>
          </w:p>
        </w:tc>
        <w:tc>
          <w:tcPr>
            <w:tcW w:w="709" w:type="dxa"/>
            <w:vMerge/>
            <w:tcBorders>
              <w:top w:val="nil"/>
              <w:left w:val="single" w:sz="4" w:space="0" w:color="auto"/>
              <w:bottom w:val="single" w:sz="4" w:space="0" w:color="000000"/>
              <w:right w:val="single" w:sz="4" w:space="0" w:color="auto"/>
            </w:tcBorders>
            <w:vAlign w:val="center"/>
            <w:hideMark/>
          </w:tcPr>
          <w:p w14:paraId="083ED4AB" w14:textId="77777777" w:rsidR="000D4E1F" w:rsidRPr="00682C4B" w:rsidRDefault="000D4E1F" w:rsidP="00C477CB">
            <w:pPr>
              <w:jc w:val="center"/>
              <w:rPr>
                <w:rFonts w:ascii="Verdana" w:hAnsi="Verdana"/>
                <w:b/>
                <w:sz w:val="22"/>
                <w:szCs w:val="22"/>
                <w:lang w:val="lt-LT"/>
              </w:rPr>
            </w:pPr>
          </w:p>
        </w:tc>
        <w:tc>
          <w:tcPr>
            <w:tcW w:w="850" w:type="dxa"/>
            <w:vMerge/>
            <w:tcBorders>
              <w:top w:val="nil"/>
              <w:left w:val="single" w:sz="4" w:space="0" w:color="auto"/>
              <w:bottom w:val="single" w:sz="4" w:space="0" w:color="000000"/>
              <w:right w:val="single" w:sz="4" w:space="0" w:color="auto"/>
            </w:tcBorders>
            <w:vAlign w:val="center"/>
            <w:hideMark/>
          </w:tcPr>
          <w:p w14:paraId="6D716947" w14:textId="77777777" w:rsidR="000D4E1F" w:rsidRPr="00682C4B" w:rsidRDefault="000D4E1F" w:rsidP="00C477CB">
            <w:pPr>
              <w:jc w:val="center"/>
              <w:rPr>
                <w:rFonts w:ascii="Verdana" w:hAnsi="Verdana"/>
                <w:b/>
                <w:sz w:val="22"/>
                <w:szCs w:val="22"/>
                <w:lang w:val="lt-LT"/>
              </w:rPr>
            </w:pPr>
          </w:p>
        </w:tc>
        <w:tc>
          <w:tcPr>
            <w:tcW w:w="1134" w:type="dxa"/>
            <w:vMerge/>
            <w:tcBorders>
              <w:top w:val="nil"/>
              <w:left w:val="single" w:sz="4" w:space="0" w:color="auto"/>
              <w:bottom w:val="single" w:sz="4" w:space="0" w:color="000000"/>
              <w:right w:val="single" w:sz="4" w:space="0" w:color="auto"/>
            </w:tcBorders>
            <w:vAlign w:val="center"/>
            <w:hideMark/>
          </w:tcPr>
          <w:p w14:paraId="32E0BBBC" w14:textId="77777777" w:rsidR="000D4E1F" w:rsidRPr="00682C4B" w:rsidRDefault="000D4E1F" w:rsidP="00C477CB">
            <w:pPr>
              <w:jc w:val="center"/>
              <w:rPr>
                <w:rFonts w:ascii="Verdana" w:hAnsi="Verdana"/>
                <w:b/>
                <w:bCs/>
                <w:sz w:val="22"/>
                <w:szCs w:val="22"/>
                <w:lang w:val="lt-LT"/>
              </w:rPr>
            </w:pPr>
          </w:p>
        </w:tc>
        <w:tc>
          <w:tcPr>
            <w:tcW w:w="709" w:type="dxa"/>
            <w:tcBorders>
              <w:left w:val="single" w:sz="4" w:space="0" w:color="auto"/>
              <w:bottom w:val="single" w:sz="4" w:space="0" w:color="000000"/>
              <w:right w:val="single" w:sz="4" w:space="0" w:color="auto"/>
            </w:tcBorders>
          </w:tcPr>
          <w:p w14:paraId="728EE759" w14:textId="77777777" w:rsidR="000D4E1F" w:rsidRPr="00682C4B" w:rsidRDefault="000D4E1F" w:rsidP="00C477CB">
            <w:pPr>
              <w:jc w:val="center"/>
              <w:rPr>
                <w:rFonts w:ascii="Verdana" w:hAnsi="Verdana"/>
                <w:b/>
                <w:sz w:val="22"/>
                <w:szCs w:val="22"/>
                <w:lang w:val="lt-LT"/>
              </w:rPr>
            </w:pPr>
            <w:r w:rsidRPr="00682C4B">
              <w:rPr>
                <w:rFonts w:ascii="Verdana" w:hAnsi="Verdana"/>
                <w:b/>
                <w:sz w:val="22"/>
                <w:szCs w:val="22"/>
                <w:lang w:val="lt-LT"/>
              </w:rPr>
              <w:t>-</w:t>
            </w:r>
          </w:p>
        </w:tc>
        <w:tc>
          <w:tcPr>
            <w:tcW w:w="709" w:type="dxa"/>
            <w:tcBorders>
              <w:left w:val="single" w:sz="4" w:space="0" w:color="auto"/>
              <w:bottom w:val="single" w:sz="4" w:space="0" w:color="000000"/>
              <w:right w:val="single" w:sz="4" w:space="0" w:color="auto"/>
            </w:tcBorders>
          </w:tcPr>
          <w:p w14:paraId="6F4E292E" w14:textId="77777777" w:rsidR="000D4E1F" w:rsidRPr="00682C4B" w:rsidRDefault="000D4E1F" w:rsidP="00C477CB">
            <w:pPr>
              <w:jc w:val="center"/>
              <w:rPr>
                <w:rFonts w:ascii="Verdana" w:hAnsi="Verdana"/>
                <w:b/>
                <w:sz w:val="22"/>
                <w:szCs w:val="22"/>
                <w:lang w:val="lt-LT"/>
              </w:rPr>
            </w:pPr>
            <w:r w:rsidRPr="00682C4B">
              <w:rPr>
                <w:rFonts w:ascii="Verdana" w:hAnsi="Verdana"/>
                <w:b/>
                <w:sz w:val="22"/>
                <w:szCs w:val="22"/>
                <w:lang w:val="lt-LT"/>
              </w:rPr>
              <w:t>-</w:t>
            </w:r>
          </w:p>
        </w:tc>
        <w:tc>
          <w:tcPr>
            <w:tcW w:w="1134" w:type="dxa"/>
            <w:tcBorders>
              <w:left w:val="single" w:sz="4" w:space="0" w:color="auto"/>
              <w:bottom w:val="single" w:sz="4" w:space="0" w:color="000000"/>
              <w:right w:val="single" w:sz="4" w:space="0" w:color="auto"/>
            </w:tcBorders>
          </w:tcPr>
          <w:p w14:paraId="248EC0A0" w14:textId="186E44EB" w:rsidR="000D4E1F" w:rsidRPr="00682C4B" w:rsidRDefault="000D4E1F" w:rsidP="00C477CB">
            <w:pPr>
              <w:jc w:val="center"/>
              <w:rPr>
                <w:rFonts w:ascii="Verdana" w:hAnsi="Verdana"/>
                <w:b/>
                <w:sz w:val="22"/>
                <w:szCs w:val="22"/>
                <w:lang w:val="lt-LT"/>
              </w:rPr>
            </w:pPr>
            <w:r w:rsidRPr="00682C4B">
              <w:rPr>
                <w:rFonts w:ascii="Verdana" w:hAnsi="Verdana"/>
                <w:b/>
                <w:sz w:val="22"/>
                <w:szCs w:val="22"/>
                <w:lang w:val="lt-LT"/>
              </w:rPr>
              <w:t>0,2</w:t>
            </w:r>
            <w:r w:rsidR="003F4006" w:rsidRPr="00682C4B">
              <w:rPr>
                <w:rFonts w:ascii="Verdana" w:hAnsi="Verdana"/>
                <w:b/>
                <w:sz w:val="22"/>
                <w:szCs w:val="22"/>
                <w:lang w:val="lt-LT"/>
              </w:rPr>
              <w:t>4</w:t>
            </w:r>
          </w:p>
        </w:tc>
        <w:tc>
          <w:tcPr>
            <w:tcW w:w="709" w:type="dxa"/>
            <w:tcBorders>
              <w:left w:val="single" w:sz="4" w:space="0" w:color="auto"/>
              <w:bottom w:val="single" w:sz="4" w:space="0" w:color="000000"/>
              <w:right w:val="single" w:sz="4" w:space="0" w:color="auto"/>
            </w:tcBorders>
          </w:tcPr>
          <w:p w14:paraId="138077CB" w14:textId="77777777" w:rsidR="000D4E1F" w:rsidRPr="00682C4B" w:rsidRDefault="000D4E1F" w:rsidP="00C477CB">
            <w:pPr>
              <w:jc w:val="center"/>
              <w:rPr>
                <w:rFonts w:ascii="Verdana" w:hAnsi="Verdana"/>
                <w:b/>
                <w:sz w:val="22"/>
                <w:szCs w:val="22"/>
                <w:lang w:val="lt-LT"/>
              </w:rPr>
            </w:pPr>
            <w:r w:rsidRPr="00682C4B">
              <w:rPr>
                <w:rFonts w:ascii="Verdana" w:hAnsi="Verdana"/>
                <w:b/>
                <w:sz w:val="22"/>
                <w:szCs w:val="22"/>
                <w:lang w:val="lt-LT"/>
              </w:rPr>
              <w:t>1</w:t>
            </w:r>
          </w:p>
        </w:tc>
        <w:tc>
          <w:tcPr>
            <w:tcW w:w="708" w:type="dxa"/>
            <w:tcBorders>
              <w:left w:val="single" w:sz="4" w:space="0" w:color="auto"/>
              <w:bottom w:val="single" w:sz="4" w:space="0" w:color="000000"/>
              <w:right w:val="single" w:sz="4" w:space="0" w:color="auto"/>
            </w:tcBorders>
          </w:tcPr>
          <w:p w14:paraId="42806D07" w14:textId="77777777" w:rsidR="000D4E1F" w:rsidRPr="00682C4B" w:rsidRDefault="000D4E1F" w:rsidP="00C477CB">
            <w:pPr>
              <w:jc w:val="center"/>
              <w:rPr>
                <w:rFonts w:ascii="Verdana" w:hAnsi="Verdana"/>
                <w:b/>
                <w:sz w:val="22"/>
                <w:szCs w:val="22"/>
                <w:lang w:val="lt-LT"/>
              </w:rPr>
            </w:pPr>
            <w:r w:rsidRPr="00682C4B">
              <w:rPr>
                <w:rFonts w:ascii="Verdana" w:hAnsi="Verdana"/>
                <w:b/>
                <w:sz w:val="22"/>
                <w:szCs w:val="22"/>
                <w:lang w:val="lt-LT"/>
              </w:rPr>
              <w:t>-</w:t>
            </w:r>
          </w:p>
        </w:tc>
        <w:tc>
          <w:tcPr>
            <w:tcW w:w="1134" w:type="dxa"/>
            <w:tcBorders>
              <w:left w:val="single" w:sz="4" w:space="0" w:color="auto"/>
              <w:bottom w:val="single" w:sz="4" w:space="0" w:color="000000"/>
              <w:right w:val="single" w:sz="4" w:space="0" w:color="auto"/>
            </w:tcBorders>
          </w:tcPr>
          <w:p w14:paraId="53E38DEB" w14:textId="05532876" w:rsidR="000D4E1F" w:rsidRPr="00682C4B" w:rsidRDefault="003F4006" w:rsidP="00C477CB">
            <w:pPr>
              <w:jc w:val="center"/>
              <w:rPr>
                <w:rFonts w:ascii="Verdana" w:hAnsi="Verdana"/>
                <w:b/>
                <w:sz w:val="22"/>
                <w:szCs w:val="22"/>
                <w:lang w:val="lt-LT"/>
              </w:rPr>
            </w:pPr>
            <w:r w:rsidRPr="00682C4B">
              <w:rPr>
                <w:rFonts w:ascii="Verdana" w:hAnsi="Verdana"/>
                <w:b/>
                <w:sz w:val="22"/>
                <w:szCs w:val="22"/>
                <w:lang w:val="lt-LT"/>
              </w:rPr>
              <w:t>0,66</w:t>
            </w:r>
          </w:p>
        </w:tc>
      </w:tr>
    </w:tbl>
    <w:p w14:paraId="2DF9299C" w14:textId="77777777" w:rsidR="000D4E1F" w:rsidRPr="00682C4B" w:rsidRDefault="000D4E1F" w:rsidP="000D4E1F">
      <w:pPr>
        <w:jc w:val="both"/>
        <w:rPr>
          <w:rFonts w:ascii="Verdana" w:hAnsi="Verdana"/>
          <w:spacing w:val="-2"/>
          <w:sz w:val="22"/>
          <w:szCs w:val="22"/>
          <w:lang w:val="lt-LT"/>
        </w:rPr>
      </w:pPr>
      <w:r w:rsidRPr="00682C4B">
        <w:rPr>
          <w:rFonts w:ascii="Verdana" w:hAnsi="Verdana"/>
          <w:spacing w:val="-2"/>
          <w:sz w:val="22"/>
          <w:szCs w:val="22"/>
          <w:lang w:val="lt-LT"/>
        </w:rPr>
        <w:t xml:space="preserve"> </w:t>
      </w:r>
    </w:p>
    <w:p w14:paraId="4ABE0FDA" w14:textId="77777777" w:rsidR="000D4E1F" w:rsidRPr="00682C4B" w:rsidRDefault="000D4E1F" w:rsidP="000D4E1F">
      <w:pPr>
        <w:jc w:val="both"/>
        <w:rPr>
          <w:rFonts w:ascii="Verdana" w:hAnsi="Verdana"/>
          <w:sz w:val="22"/>
          <w:szCs w:val="22"/>
          <w:lang w:val="lt-LT"/>
        </w:rPr>
      </w:pPr>
      <w:r w:rsidRPr="00682C4B">
        <w:rPr>
          <w:rFonts w:ascii="Verdana" w:hAnsi="Verdana"/>
          <w:b/>
          <w:i/>
          <w:sz w:val="22"/>
          <w:szCs w:val="22"/>
          <w:lang w:val="lt-LT"/>
        </w:rPr>
        <w:t>2. Mokytojų padėjėjai</w:t>
      </w:r>
      <w:r w:rsidRPr="00682C4B">
        <w:rPr>
          <w:rFonts w:ascii="Verdana" w:hAnsi="Verdana"/>
          <w:sz w:val="22"/>
          <w:szCs w:val="22"/>
          <w:lang w:val="lt-LT"/>
        </w:rPr>
        <w:t>.</w:t>
      </w:r>
    </w:p>
    <w:p w14:paraId="7872F14A" w14:textId="77777777" w:rsidR="000D4E1F" w:rsidRPr="00682C4B" w:rsidRDefault="000D4E1F" w:rsidP="000D4E1F">
      <w:pPr>
        <w:jc w:val="both"/>
        <w:rPr>
          <w:rFonts w:ascii="Verdana" w:hAnsi="Verdana"/>
          <w:sz w:val="22"/>
          <w:szCs w:val="22"/>
          <w:lang w:val="lt-LT"/>
        </w:rPr>
      </w:pPr>
    </w:p>
    <w:p w14:paraId="6C9F8E94"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Tai  nepedagoginiai mokyklos darbuotojai, dirbantys pilnu arba nepilnu darbo krūviu, ir padedantys mokytojams jų mokymo veikloje, tačiau tai nėra pedagoginių specialybių studentai, kurie už darbą mokykloje negauna atlyginimo.</w:t>
      </w:r>
    </w:p>
    <w:p w14:paraId="402DB6C8"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Tai laborantai, padėjėjai.</w:t>
      </w:r>
    </w:p>
    <w:p w14:paraId="34C9E99A" w14:textId="77777777" w:rsidR="000D4E1F" w:rsidRPr="00682C4B" w:rsidRDefault="000D4E1F" w:rsidP="000D4E1F">
      <w:pPr>
        <w:jc w:val="both"/>
        <w:rPr>
          <w:rFonts w:ascii="Verdana" w:hAnsi="Verdana"/>
          <w:sz w:val="22"/>
          <w:szCs w:val="22"/>
          <w:lang w:val="lt-LT"/>
        </w:rPr>
      </w:pPr>
    </w:p>
    <w:p w14:paraId="411395B5" w14:textId="77777777" w:rsidR="000D4E1F" w:rsidRPr="00682C4B" w:rsidRDefault="000D4E1F" w:rsidP="000D4E1F">
      <w:pPr>
        <w:jc w:val="both"/>
        <w:rPr>
          <w:rFonts w:ascii="Verdana" w:hAnsi="Verdana"/>
          <w:b/>
          <w:i/>
          <w:sz w:val="22"/>
          <w:szCs w:val="22"/>
          <w:lang w:val="lt-LT"/>
        </w:rPr>
      </w:pPr>
      <w:r w:rsidRPr="00682C4B">
        <w:rPr>
          <w:rFonts w:ascii="Verdana" w:hAnsi="Verdana"/>
          <w:b/>
          <w:i/>
          <w:sz w:val="22"/>
          <w:szCs w:val="22"/>
          <w:lang w:val="lt-LT"/>
        </w:rPr>
        <w:t>3. Pagalbos mokiniui specialistai</w:t>
      </w:r>
    </w:p>
    <w:p w14:paraId="276315A6" w14:textId="77777777" w:rsidR="000D4E1F" w:rsidRPr="00682C4B" w:rsidRDefault="000D4E1F" w:rsidP="000D4E1F">
      <w:pPr>
        <w:jc w:val="both"/>
        <w:rPr>
          <w:rFonts w:ascii="Verdana" w:hAnsi="Verdana"/>
          <w:i/>
          <w:sz w:val="22"/>
          <w:szCs w:val="22"/>
          <w:lang w:val="lt-LT"/>
        </w:rPr>
      </w:pPr>
    </w:p>
    <w:p w14:paraId="1F42536E"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 xml:space="preserve">Tai psichologai, logopedai, specialieji pedagogai, surdopedagogai, </w:t>
      </w:r>
      <w:proofErr w:type="spellStart"/>
      <w:r w:rsidRPr="00682C4B">
        <w:rPr>
          <w:rFonts w:ascii="Verdana" w:hAnsi="Verdana"/>
          <w:sz w:val="22"/>
          <w:szCs w:val="22"/>
          <w:lang w:val="lt-LT"/>
        </w:rPr>
        <w:t>tiflopedagogai</w:t>
      </w:r>
      <w:proofErr w:type="spellEnd"/>
      <w:r w:rsidRPr="00682C4B">
        <w:rPr>
          <w:rFonts w:ascii="Verdana" w:hAnsi="Verdana"/>
          <w:sz w:val="22"/>
          <w:szCs w:val="22"/>
          <w:lang w:val="lt-LT"/>
        </w:rPr>
        <w:t>, socialiniai pedagogai.</w:t>
      </w:r>
    </w:p>
    <w:p w14:paraId="4E87596F" w14:textId="77777777" w:rsidR="000D4E1F" w:rsidRPr="00682C4B" w:rsidRDefault="000D4E1F" w:rsidP="000D4E1F">
      <w:pPr>
        <w:jc w:val="both"/>
        <w:rPr>
          <w:rFonts w:ascii="Verdana" w:hAnsi="Verdana"/>
          <w:sz w:val="22"/>
          <w:szCs w:val="22"/>
          <w:lang w:val="lt-LT"/>
        </w:rPr>
      </w:pPr>
    </w:p>
    <w:p w14:paraId="397ED330" w14:textId="77777777" w:rsidR="000D4E1F" w:rsidRPr="00682C4B" w:rsidRDefault="000D4E1F" w:rsidP="000D4E1F">
      <w:pPr>
        <w:jc w:val="both"/>
        <w:rPr>
          <w:rFonts w:ascii="Verdana" w:hAnsi="Verdana"/>
          <w:b/>
          <w:i/>
          <w:sz w:val="22"/>
          <w:szCs w:val="22"/>
          <w:lang w:val="lt-LT"/>
        </w:rPr>
      </w:pPr>
      <w:r w:rsidRPr="00682C4B">
        <w:rPr>
          <w:rFonts w:ascii="Verdana" w:hAnsi="Verdana"/>
          <w:b/>
          <w:i/>
          <w:sz w:val="22"/>
          <w:szCs w:val="22"/>
          <w:lang w:val="lt-LT"/>
        </w:rPr>
        <w:t>4. Kiti pedagoginiai darbuotojai</w:t>
      </w:r>
    </w:p>
    <w:p w14:paraId="5178A670" w14:textId="77777777" w:rsidR="000D4E1F" w:rsidRPr="00682C4B" w:rsidRDefault="000D4E1F" w:rsidP="000D4E1F">
      <w:pPr>
        <w:jc w:val="both"/>
        <w:rPr>
          <w:rFonts w:ascii="Verdana" w:hAnsi="Verdana"/>
          <w:b/>
          <w:sz w:val="22"/>
          <w:szCs w:val="22"/>
          <w:lang w:val="lt-LT"/>
        </w:rPr>
      </w:pPr>
    </w:p>
    <w:p w14:paraId="1C95F3E7"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Tai pedagoginiai darbuotojai, kurie teikia moksleiviams papildomas paslaugas susijusiais su jų mokymo programa. Tai auklėtojai, būrelių vadovai, judesio korekcijos specialistai ir kt.</w:t>
      </w:r>
    </w:p>
    <w:p w14:paraId="3FBA96E5" w14:textId="77777777" w:rsidR="000D4E1F" w:rsidRPr="00682C4B" w:rsidRDefault="000D4E1F" w:rsidP="000D4E1F">
      <w:pPr>
        <w:jc w:val="both"/>
        <w:rPr>
          <w:rFonts w:ascii="Verdana" w:hAnsi="Verdana"/>
          <w:b/>
          <w:sz w:val="22"/>
          <w:szCs w:val="22"/>
          <w:lang w:val="lt-LT"/>
        </w:rPr>
      </w:pPr>
      <w:r w:rsidRPr="00682C4B">
        <w:rPr>
          <w:rFonts w:ascii="Verdana" w:hAnsi="Verdana"/>
          <w:sz w:val="22"/>
          <w:szCs w:val="22"/>
          <w:lang w:val="lt-LT"/>
        </w:rPr>
        <w:t xml:space="preserve"> </w:t>
      </w:r>
    </w:p>
    <w:p w14:paraId="743BAEF2" w14:textId="77777777" w:rsidR="000D4E1F" w:rsidRPr="00682C4B" w:rsidRDefault="000D4E1F" w:rsidP="000D4E1F">
      <w:pPr>
        <w:jc w:val="both"/>
        <w:rPr>
          <w:rFonts w:ascii="Verdana" w:hAnsi="Verdana"/>
          <w:i/>
          <w:sz w:val="22"/>
          <w:szCs w:val="22"/>
          <w:lang w:val="lt-LT"/>
        </w:rPr>
      </w:pPr>
      <w:r w:rsidRPr="00682C4B">
        <w:rPr>
          <w:rFonts w:ascii="Verdana" w:hAnsi="Verdana"/>
          <w:b/>
          <w:i/>
          <w:sz w:val="22"/>
          <w:szCs w:val="22"/>
          <w:lang w:val="lt-LT"/>
        </w:rPr>
        <w:t>5. Nepedagoginiai darbuotojai, teikiantys pagalbą</w:t>
      </w:r>
      <w:r w:rsidRPr="00682C4B">
        <w:rPr>
          <w:rFonts w:ascii="Verdana" w:hAnsi="Verdana"/>
          <w:i/>
          <w:sz w:val="22"/>
          <w:szCs w:val="22"/>
          <w:lang w:val="lt-LT"/>
        </w:rPr>
        <w:t>.</w:t>
      </w:r>
    </w:p>
    <w:p w14:paraId="30B37F5D" w14:textId="77777777" w:rsidR="000D4E1F" w:rsidRPr="00682C4B" w:rsidRDefault="000D4E1F" w:rsidP="000D4E1F">
      <w:pPr>
        <w:jc w:val="both"/>
        <w:rPr>
          <w:rFonts w:ascii="Verdana" w:hAnsi="Verdana"/>
          <w:i/>
          <w:sz w:val="22"/>
          <w:szCs w:val="22"/>
          <w:lang w:val="lt-LT"/>
        </w:rPr>
      </w:pPr>
    </w:p>
    <w:p w14:paraId="7129D997"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Tai nepedagoginiai darbuotojai, kurie teikia moksleiviams papildomas paslaugas, susijusiais su jų mokymo programa. Tai bibliotekų darbuotojai, vairavimo instruktoriai, taip pat pedagogai, kurie pakeitę pareigas, tapo konsultantais, patarėjais, žiniasklaidos atstovais švietimo klausimais, kitais profesionalią pedagoginę pagalbą teikiančiais pareigūnais.</w:t>
      </w:r>
    </w:p>
    <w:p w14:paraId="6D8D68A5" w14:textId="77777777" w:rsidR="000D4E1F" w:rsidRPr="00682C4B" w:rsidRDefault="000D4E1F" w:rsidP="000D4E1F">
      <w:pPr>
        <w:jc w:val="both"/>
        <w:rPr>
          <w:rFonts w:ascii="Verdana" w:hAnsi="Verdana"/>
          <w:sz w:val="22"/>
          <w:szCs w:val="22"/>
          <w:lang w:val="lt-LT"/>
        </w:rPr>
      </w:pPr>
    </w:p>
    <w:p w14:paraId="64F46645" w14:textId="77777777" w:rsidR="000D4E1F" w:rsidRPr="00682C4B" w:rsidRDefault="000D4E1F" w:rsidP="000D4E1F">
      <w:pPr>
        <w:jc w:val="both"/>
        <w:rPr>
          <w:rFonts w:ascii="Verdana" w:hAnsi="Verdana"/>
          <w:sz w:val="22"/>
          <w:szCs w:val="22"/>
          <w:lang w:val="lt-LT"/>
        </w:rPr>
      </w:pPr>
    </w:p>
    <w:p w14:paraId="0F04474D" w14:textId="77777777" w:rsidR="000D4E1F" w:rsidRPr="00682C4B" w:rsidRDefault="000D4E1F" w:rsidP="000D4E1F">
      <w:pPr>
        <w:jc w:val="both"/>
        <w:rPr>
          <w:rFonts w:ascii="Verdana" w:hAnsi="Verdana"/>
          <w:sz w:val="22"/>
          <w:szCs w:val="22"/>
          <w:lang w:val="lt-LT"/>
        </w:rPr>
      </w:pPr>
      <w:r w:rsidRPr="00682C4B">
        <w:rPr>
          <w:rFonts w:ascii="Verdana" w:hAnsi="Verdana"/>
          <w:b/>
          <w:i/>
          <w:sz w:val="22"/>
          <w:szCs w:val="22"/>
          <w:lang w:val="lt-LT"/>
        </w:rPr>
        <w:t>6. Nepedagoginiai darbuotojai, teikiantys sveikatos priežiūrą</w:t>
      </w:r>
      <w:r w:rsidRPr="00682C4B">
        <w:rPr>
          <w:rFonts w:ascii="Verdana" w:hAnsi="Verdana"/>
          <w:sz w:val="22"/>
          <w:szCs w:val="22"/>
          <w:lang w:val="lt-LT"/>
        </w:rPr>
        <w:t>.</w:t>
      </w:r>
    </w:p>
    <w:p w14:paraId="32300D78" w14:textId="77777777" w:rsidR="000D4E1F" w:rsidRPr="00682C4B" w:rsidRDefault="000D4E1F" w:rsidP="000D4E1F">
      <w:pPr>
        <w:jc w:val="both"/>
        <w:rPr>
          <w:rFonts w:ascii="Verdana" w:hAnsi="Verdana"/>
          <w:sz w:val="22"/>
          <w:szCs w:val="22"/>
          <w:lang w:val="lt-LT"/>
        </w:rPr>
      </w:pPr>
    </w:p>
    <w:p w14:paraId="78818CC8"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Tai mokyklų darbuotojai, teikiantys moksleiviams medicinos ir socialinę pagalbą. Tai gydytojai, slaugytojai, socialiniai darbuotojai ir kiti sveikatos priežiūros darbuotojai.</w:t>
      </w:r>
    </w:p>
    <w:p w14:paraId="1D02CCD8" w14:textId="77777777" w:rsidR="000D4E1F" w:rsidRPr="00682C4B" w:rsidRDefault="000D4E1F" w:rsidP="000D4E1F">
      <w:pPr>
        <w:jc w:val="both"/>
        <w:rPr>
          <w:rFonts w:ascii="Verdana" w:hAnsi="Verdana"/>
          <w:sz w:val="22"/>
          <w:szCs w:val="22"/>
          <w:lang w:val="lt-LT"/>
        </w:rPr>
      </w:pPr>
    </w:p>
    <w:p w14:paraId="0F793B6F" w14:textId="77777777" w:rsidR="000D4E1F" w:rsidRPr="00682C4B" w:rsidRDefault="000D4E1F" w:rsidP="000D4E1F">
      <w:pPr>
        <w:jc w:val="both"/>
        <w:rPr>
          <w:rFonts w:ascii="Verdana" w:hAnsi="Verdana"/>
          <w:i/>
          <w:sz w:val="22"/>
          <w:szCs w:val="22"/>
          <w:lang w:val="lt-LT"/>
        </w:rPr>
      </w:pPr>
      <w:r w:rsidRPr="00682C4B">
        <w:rPr>
          <w:rFonts w:ascii="Verdana" w:hAnsi="Verdana"/>
          <w:b/>
          <w:i/>
          <w:sz w:val="22"/>
          <w:szCs w:val="22"/>
          <w:lang w:val="lt-LT"/>
        </w:rPr>
        <w:t>7. Mokyklų vadovai</w:t>
      </w:r>
      <w:r w:rsidRPr="00682C4B">
        <w:rPr>
          <w:rFonts w:ascii="Verdana" w:hAnsi="Verdana"/>
          <w:i/>
          <w:sz w:val="22"/>
          <w:szCs w:val="22"/>
          <w:lang w:val="lt-LT"/>
        </w:rPr>
        <w:t>.</w:t>
      </w:r>
    </w:p>
    <w:p w14:paraId="38E9D74F" w14:textId="77777777" w:rsidR="000D4E1F" w:rsidRPr="00682C4B" w:rsidRDefault="000D4E1F" w:rsidP="000D4E1F">
      <w:pPr>
        <w:jc w:val="both"/>
        <w:rPr>
          <w:rFonts w:ascii="Verdana" w:hAnsi="Verdana"/>
          <w:i/>
          <w:sz w:val="22"/>
          <w:szCs w:val="22"/>
          <w:lang w:val="lt-LT"/>
        </w:rPr>
      </w:pPr>
    </w:p>
    <w:p w14:paraId="7DF5BE33"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lastRenderedPageBreak/>
        <w:t>Tai mokyklos direktorius, jo pavaduotojai ir skyrių, susijusių su ugdymu, vedėjai, kurių pagrindinės pareigos yra mokyklos administravimas.</w:t>
      </w:r>
    </w:p>
    <w:p w14:paraId="578E95D3" w14:textId="77777777" w:rsidR="000D4E1F" w:rsidRPr="00682C4B" w:rsidRDefault="000D4E1F" w:rsidP="000D4E1F">
      <w:pPr>
        <w:jc w:val="both"/>
        <w:rPr>
          <w:rFonts w:ascii="Verdana" w:hAnsi="Verdana"/>
          <w:sz w:val="22"/>
          <w:szCs w:val="22"/>
          <w:lang w:val="lt-LT"/>
        </w:rPr>
      </w:pPr>
    </w:p>
    <w:p w14:paraId="14169DB1" w14:textId="77777777" w:rsidR="000D4E1F" w:rsidRPr="00682C4B" w:rsidRDefault="000D4E1F" w:rsidP="000D4E1F">
      <w:pPr>
        <w:jc w:val="both"/>
        <w:rPr>
          <w:rFonts w:ascii="Verdana" w:hAnsi="Verdana"/>
          <w:i/>
          <w:sz w:val="22"/>
          <w:szCs w:val="22"/>
          <w:lang w:val="lt-LT"/>
        </w:rPr>
      </w:pPr>
      <w:r w:rsidRPr="00682C4B">
        <w:rPr>
          <w:rFonts w:ascii="Verdana" w:hAnsi="Verdana"/>
          <w:b/>
          <w:i/>
          <w:sz w:val="22"/>
          <w:szCs w:val="22"/>
          <w:lang w:val="lt-LT"/>
        </w:rPr>
        <w:t>8. Kiti administracijos darbuotojai</w:t>
      </w:r>
      <w:r w:rsidRPr="00682C4B">
        <w:rPr>
          <w:rFonts w:ascii="Verdana" w:hAnsi="Verdana"/>
          <w:i/>
          <w:sz w:val="22"/>
          <w:szCs w:val="22"/>
          <w:lang w:val="lt-LT"/>
        </w:rPr>
        <w:t>.</w:t>
      </w:r>
    </w:p>
    <w:p w14:paraId="42AC4134" w14:textId="77777777" w:rsidR="000D4E1F" w:rsidRPr="00682C4B" w:rsidRDefault="000D4E1F" w:rsidP="000D4E1F">
      <w:pPr>
        <w:jc w:val="both"/>
        <w:rPr>
          <w:rFonts w:ascii="Verdana" w:hAnsi="Verdana"/>
          <w:sz w:val="22"/>
          <w:szCs w:val="22"/>
          <w:lang w:val="lt-LT"/>
        </w:rPr>
      </w:pPr>
    </w:p>
    <w:p w14:paraId="654E40AE"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Tai mokyklos administraciją aptarnaujantis, ūkines-finansines funkcijas tvarkantis personalas: direktoriaus pavaduotojas ūkio reikalams, sekretorės, finansininkai, buhalteriai, inžinieriai programuotojai ir kiti mokyklos  darbuotojai</w:t>
      </w:r>
    </w:p>
    <w:p w14:paraId="0614366B" w14:textId="77777777" w:rsidR="000D4E1F" w:rsidRPr="00682C4B" w:rsidRDefault="000D4E1F" w:rsidP="000D4E1F">
      <w:pPr>
        <w:jc w:val="both"/>
        <w:rPr>
          <w:rFonts w:ascii="Verdana" w:hAnsi="Verdana"/>
          <w:sz w:val="22"/>
          <w:szCs w:val="22"/>
          <w:lang w:val="lt-LT"/>
        </w:rPr>
      </w:pPr>
    </w:p>
    <w:p w14:paraId="50786D3A" w14:textId="77777777" w:rsidR="000D4E1F" w:rsidRPr="00682C4B" w:rsidRDefault="000D4E1F" w:rsidP="000D4E1F">
      <w:pPr>
        <w:jc w:val="both"/>
        <w:rPr>
          <w:rFonts w:ascii="Verdana" w:hAnsi="Verdana"/>
          <w:b/>
          <w:i/>
          <w:sz w:val="22"/>
          <w:szCs w:val="22"/>
          <w:lang w:val="lt-LT"/>
        </w:rPr>
      </w:pPr>
      <w:r w:rsidRPr="00682C4B">
        <w:rPr>
          <w:rFonts w:ascii="Verdana" w:hAnsi="Verdana"/>
          <w:b/>
          <w:i/>
          <w:sz w:val="22"/>
          <w:szCs w:val="22"/>
          <w:lang w:val="lt-LT"/>
        </w:rPr>
        <w:t>9. Pagalbiniai darbuotojai</w:t>
      </w:r>
    </w:p>
    <w:p w14:paraId="3703396A" w14:textId="77777777" w:rsidR="000D4E1F" w:rsidRPr="00682C4B" w:rsidRDefault="000D4E1F" w:rsidP="000D4E1F">
      <w:pPr>
        <w:jc w:val="both"/>
        <w:rPr>
          <w:rFonts w:ascii="Verdana" w:hAnsi="Verdana"/>
          <w:sz w:val="22"/>
          <w:szCs w:val="22"/>
          <w:lang w:val="lt-LT"/>
        </w:rPr>
      </w:pPr>
    </w:p>
    <w:p w14:paraId="11BE6E34"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Tai vairuotojai, valytojos, sargai, valgyklų darbuotojai, bendrabučių prižiūrėtojai, elektrikai, staliai ir kitas mokyklos ūkį aptarnaujantis personalas.</w:t>
      </w:r>
    </w:p>
    <w:p w14:paraId="51967A6F" w14:textId="77777777" w:rsidR="000D4E1F" w:rsidRPr="00682C4B" w:rsidRDefault="000D4E1F" w:rsidP="000D4E1F">
      <w:pPr>
        <w:jc w:val="both"/>
        <w:rPr>
          <w:rFonts w:ascii="Verdana" w:hAnsi="Verdana"/>
          <w:sz w:val="22"/>
          <w:szCs w:val="22"/>
          <w:lang w:val="lt-LT"/>
        </w:rPr>
      </w:pPr>
    </w:p>
    <w:p w14:paraId="14E3E159" w14:textId="77777777" w:rsidR="000D4E1F" w:rsidRPr="00682C4B" w:rsidRDefault="000D4E1F" w:rsidP="000D4E1F">
      <w:pPr>
        <w:jc w:val="center"/>
        <w:rPr>
          <w:rFonts w:ascii="Verdana" w:hAnsi="Verdana"/>
          <w:b/>
          <w:sz w:val="22"/>
          <w:szCs w:val="22"/>
          <w:lang w:val="lt-LT"/>
        </w:rPr>
      </w:pPr>
      <w:r w:rsidRPr="00682C4B">
        <w:rPr>
          <w:rFonts w:ascii="Verdana" w:hAnsi="Verdana"/>
          <w:b/>
          <w:sz w:val="22"/>
          <w:szCs w:val="22"/>
          <w:lang w:val="lt-LT"/>
        </w:rPr>
        <w:t>Mokyklos darbuotojų skirstymas į dirbančius visą (VDL) ir ne visą darbo laiką (NDL)</w:t>
      </w:r>
    </w:p>
    <w:p w14:paraId="0548D1D3" w14:textId="77777777" w:rsidR="000D4E1F" w:rsidRPr="00682C4B" w:rsidRDefault="000D4E1F" w:rsidP="000D4E1F">
      <w:pPr>
        <w:jc w:val="both"/>
        <w:rPr>
          <w:rFonts w:ascii="Verdana" w:hAnsi="Verdana"/>
          <w:sz w:val="22"/>
          <w:szCs w:val="22"/>
          <w:lang w:val="lt-LT"/>
        </w:rPr>
      </w:pPr>
    </w:p>
    <w:p w14:paraId="55A651DC"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 xml:space="preserve">Darbuotojai skirstomi į dirbančius </w:t>
      </w:r>
      <w:r w:rsidRPr="00682C4B">
        <w:rPr>
          <w:rFonts w:ascii="Verdana" w:hAnsi="Verdana"/>
          <w:b/>
          <w:sz w:val="22"/>
          <w:szCs w:val="22"/>
          <w:lang w:val="lt-LT"/>
        </w:rPr>
        <w:t>VDL</w:t>
      </w:r>
      <w:r w:rsidRPr="00682C4B">
        <w:rPr>
          <w:rFonts w:ascii="Verdana" w:hAnsi="Verdana"/>
          <w:sz w:val="22"/>
          <w:szCs w:val="22"/>
          <w:lang w:val="lt-LT"/>
        </w:rPr>
        <w:t xml:space="preserve"> ir </w:t>
      </w:r>
      <w:r w:rsidRPr="00682C4B">
        <w:rPr>
          <w:rFonts w:ascii="Verdana" w:hAnsi="Verdana"/>
          <w:b/>
          <w:sz w:val="22"/>
          <w:szCs w:val="22"/>
          <w:lang w:val="lt-LT"/>
        </w:rPr>
        <w:t>NDL</w:t>
      </w:r>
      <w:r w:rsidRPr="00682C4B">
        <w:rPr>
          <w:rFonts w:ascii="Verdana" w:hAnsi="Verdana"/>
          <w:sz w:val="22"/>
          <w:szCs w:val="22"/>
          <w:lang w:val="lt-LT"/>
        </w:rPr>
        <w:t xml:space="preserve"> pagal jų faktiškai dirbtą laiką (valandomis) per visus mokslo metus (įskaitant vasaros laikotarpį) </w:t>
      </w:r>
      <w:proofErr w:type="spellStart"/>
      <w:r w:rsidRPr="00682C4B">
        <w:rPr>
          <w:rFonts w:ascii="Verdana" w:hAnsi="Verdana"/>
          <w:sz w:val="22"/>
          <w:szCs w:val="22"/>
          <w:lang w:val="lt-LT"/>
        </w:rPr>
        <w:t>t.y</w:t>
      </w:r>
      <w:proofErr w:type="spellEnd"/>
      <w:r w:rsidRPr="00682C4B">
        <w:rPr>
          <w:rFonts w:ascii="Verdana" w:hAnsi="Verdana"/>
          <w:sz w:val="22"/>
          <w:szCs w:val="22"/>
          <w:lang w:val="lt-LT"/>
        </w:rPr>
        <w:t>. nuo ataskaitinių mokslo metų pradžios iki kitų mokslo metų pradžios.</w:t>
      </w:r>
    </w:p>
    <w:p w14:paraId="689F4654" w14:textId="77777777" w:rsidR="000D4E1F" w:rsidRPr="00682C4B" w:rsidRDefault="000D4E1F" w:rsidP="000D4E1F">
      <w:pPr>
        <w:jc w:val="both"/>
        <w:rPr>
          <w:rFonts w:ascii="Verdana" w:hAnsi="Verdana"/>
          <w:sz w:val="22"/>
          <w:szCs w:val="22"/>
          <w:lang w:val="lt-LT"/>
        </w:rPr>
      </w:pPr>
    </w:p>
    <w:p w14:paraId="4159E373" w14:textId="77777777" w:rsidR="000D4E1F" w:rsidRPr="00682C4B" w:rsidRDefault="000D4E1F" w:rsidP="000D4E1F">
      <w:pPr>
        <w:jc w:val="both"/>
        <w:rPr>
          <w:rFonts w:ascii="Verdana" w:hAnsi="Verdana"/>
          <w:sz w:val="22"/>
          <w:szCs w:val="22"/>
          <w:lang w:val="lt-LT"/>
        </w:rPr>
      </w:pPr>
      <w:r w:rsidRPr="00682C4B">
        <w:rPr>
          <w:rFonts w:ascii="Verdana" w:hAnsi="Verdana"/>
          <w:b/>
          <w:sz w:val="22"/>
          <w:szCs w:val="22"/>
          <w:lang w:val="lt-LT"/>
        </w:rPr>
        <w:t>Visą darbo laiką (VDL</w:t>
      </w:r>
      <w:r w:rsidRPr="00682C4B">
        <w:rPr>
          <w:rFonts w:ascii="Verdana" w:hAnsi="Verdana"/>
          <w:sz w:val="22"/>
          <w:szCs w:val="22"/>
          <w:lang w:val="lt-LT"/>
        </w:rPr>
        <w:t>) dirbantys mokyklos darbuotojai yra tie, kurie visus praėjusius mokslo metus dirbo ne mažiau kaip 90 proc. įstatymu numatytos ar kito juridinio dokumento reglamentuotos darbo laiko normos (krūvio).</w:t>
      </w:r>
    </w:p>
    <w:p w14:paraId="307791F0" w14:textId="77777777" w:rsidR="000D4E1F" w:rsidRPr="00682C4B" w:rsidRDefault="000D4E1F" w:rsidP="000D4E1F">
      <w:pPr>
        <w:jc w:val="both"/>
        <w:rPr>
          <w:rFonts w:ascii="Verdana" w:hAnsi="Verdana"/>
          <w:sz w:val="22"/>
          <w:szCs w:val="22"/>
          <w:lang w:val="lt-LT"/>
        </w:rPr>
      </w:pPr>
    </w:p>
    <w:p w14:paraId="762671E3" w14:textId="77777777" w:rsidR="000D4E1F" w:rsidRPr="00682C4B" w:rsidRDefault="000D4E1F" w:rsidP="000D4E1F">
      <w:pPr>
        <w:jc w:val="both"/>
        <w:rPr>
          <w:rFonts w:ascii="Verdana" w:hAnsi="Verdana"/>
          <w:sz w:val="22"/>
          <w:szCs w:val="22"/>
          <w:lang w:val="lt-LT"/>
        </w:rPr>
      </w:pPr>
      <w:r w:rsidRPr="00682C4B">
        <w:rPr>
          <w:rFonts w:ascii="Verdana" w:hAnsi="Verdana"/>
          <w:b/>
          <w:sz w:val="22"/>
          <w:szCs w:val="22"/>
          <w:lang w:val="lt-LT"/>
        </w:rPr>
        <w:t>Ne visą darbo laiką (NDL)</w:t>
      </w:r>
      <w:r w:rsidRPr="00682C4B">
        <w:rPr>
          <w:rFonts w:ascii="Verdana" w:hAnsi="Verdana"/>
          <w:sz w:val="22"/>
          <w:szCs w:val="22"/>
          <w:lang w:val="lt-LT"/>
        </w:rPr>
        <w:t xml:space="preserve"> dirbantys mokyklos darbuotojai yra tie, kurie visus praėjusius mokslo metus dirbo mažiau 90 proc. įstatymu numatytos ar kito juridinio dokumento reglamentuotos darbo laiko normos (krūvio).</w:t>
      </w:r>
    </w:p>
    <w:p w14:paraId="3BEBF92B"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Jei darbuotojas dirbo visu krūviu, tačiau ne visus mokslo metus (pvz. dirbo tris mėn.ir išėjo iš darbo), tai jo faktiškai dirbtas laikas yra trumpesnis nei kitų visu krūviu ir visus mokslo metus dirbančių darbuotojų. Todėl šis darbuotojas skaičiuojamas kaip dirbantys ne visą darbo laiką.</w:t>
      </w:r>
    </w:p>
    <w:p w14:paraId="66C2A915" w14:textId="77777777" w:rsidR="000D4E1F" w:rsidRPr="00682C4B" w:rsidRDefault="000D4E1F" w:rsidP="000D4E1F">
      <w:pPr>
        <w:jc w:val="both"/>
        <w:rPr>
          <w:rFonts w:ascii="Verdana" w:hAnsi="Verdana"/>
          <w:sz w:val="22"/>
          <w:szCs w:val="22"/>
          <w:lang w:val="lt-LT"/>
        </w:rPr>
      </w:pPr>
    </w:p>
    <w:p w14:paraId="54DD68E3"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 xml:space="preserve">Darbuotojų, dirbusių </w:t>
      </w:r>
      <w:r w:rsidRPr="00682C4B">
        <w:rPr>
          <w:rFonts w:ascii="Verdana" w:hAnsi="Verdana"/>
          <w:b/>
          <w:sz w:val="22"/>
          <w:szCs w:val="22"/>
          <w:lang w:val="lt-LT"/>
        </w:rPr>
        <w:t>VDL</w:t>
      </w:r>
      <w:r w:rsidRPr="00682C4B">
        <w:rPr>
          <w:rFonts w:ascii="Verdana" w:hAnsi="Verdana"/>
          <w:sz w:val="22"/>
          <w:szCs w:val="22"/>
          <w:lang w:val="lt-LT"/>
        </w:rPr>
        <w:t xml:space="preserve"> ir </w:t>
      </w:r>
      <w:r w:rsidRPr="00682C4B">
        <w:rPr>
          <w:rFonts w:ascii="Verdana" w:hAnsi="Verdana"/>
          <w:b/>
          <w:sz w:val="22"/>
          <w:szCs w:val="22"/>
          <w:lang w:val="lt-LT"/>
        </w:rPr>
        <w:t xml:space="preserve">NDL </w:t>
      </w:r>
      <w:r w:rsidRPr="00682C4B">
        <w:rPr>
          <w:rFonts w:ascii="Verdana" w:hAnsi="Verdana"/>
          <w:sz w:val="22"/>
          <w:szCs w:val="22"/>
          <w:lang w:val="lt-LT"/>
        </w:rPr>
        <w:t>perskaičiavimas į metinį  vidutinį sąlyginį darbuotojų skaičių (</w:t>
      </w:r>
      <w:r w:rsidRPr="00682C4B">
        <w:rPr>
          <w:rFonts w:ascii="Verdana" w:hAnsi="Verdana"/>
          <w:b/>
          <w:sz w:val="22"/>
          <w:szCs w:val="22"/>
          <w:lang w:val="lt-LT"/>
        </w:rPr>
        <w:t>VSDS</w:t>
      </w:r>
      <w:r w:rsidRPr="00682C4B">
        <w:rPr>
          <w:rFonts w:ascii="Verdana" w:hAnsi="Verdana"/>
          <w:sz w:val="22"/>
          <w:szCs w:val="22"/>
          <w:lang w:val="lt-LT"/>
        </w:rPr>
        <w:t>).</w:t>
      </w:r>
    </w:p>
    <w:p w14:paraId="4D0DB9A3" w14:textId="77777777" w:rsidR="000D4E1F" w:rsidRPr="00682C4B" w:rsidRDefault="000D4E1F" w:rsidP="000D4E1F">
      <w:pPr>
        <w:jc w:val="both"/>
        <w:rPr>
          <w:rFonts w:ascii="Verdana" w:hAnsi="Verdana"/>
          <w:sz w:val="22"/>
          <w:szCs w:val="22"/>
          <w:lang w:val="lt-LT"/>
        </w:rPr>
      </w:pPr>
    </w:p>
    <w:p w14:paraId="22976EA5"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Kadangi mokyklos darbuotojai, lyginant su oficialiai nustatytu normaliu darbo krūviu, dirba visą darbo laiką, arba viršvalandžius, arba ne visą darbo laiką. Todėl, atsižvelgus į darbuotojų per praėjusius mokslo metus visas faktiškai dirbtas valandas, apskaičiuojamas vidutinis sąlyginis darbuotojų skaičius pagal juridiškai reglamentuotą visą darbo laiką (</w:t>
      </w:r>
      <w:r w:rsidRPr="00682C4B">
        <w:rPr>
          <w:rFonts w:ascii="Verdana" w:hAnsi="Verdana"/>
          <w:b/>
          <w:sz w:val="22"/>
          <w:szCs w:val="22"/>
          <w:lang w:val="lt-LT"/>
        </w:rPr>
        <w:t>JVDLE</w:t>
      </w:r>
      <w:r w:rsidRPr="00682C4B">
        <w:rPr>
          <w:rFonts w:ascii="Verdana" w:hAnsi="Verdana"/>
          <w:sz w:val="22"/>
          <w:szCs w:val="22"/>
          <w:lang w:val="lt-LT"/>
        </w:rPr>
        <w:t>).</w:t>
      </w:r>
    </w:p>
    <w:p w14:paraId="267C6DE9" w14:textId="77777777" w:rsidR="000D4E1F" w:rsidRPr="00682C4B" w:rsidRDefault="000D4E1F" w:rsidP="000D4E1F">
      <w:pPr>
        <w:pStyle w:val="Pagrindinistekstas"/>
        <w:jc w:val="both"/>
        <w:rPr>
          <w:rFonts w:ascii="Verdana" w:hAnsi="Verdana"/>
          <w:szCs w:val="22"/>
          <w:lang w:val="lt-LT"/>
        </w:rPr>
      </w:pPr>
      <w:r w:rsidRPr="00682C4B">
        <w:rPr>
          <w:rFonts w:ascii="Verdana" w:hAnsi="Verdana"/>
          <w:szCs w:val="22"/>
          <w:lang w:val="lt-LT"/>
        </w:rPr>
        <w:t xml:space="preserve">Atkreipkite dėmesį, kad </w:t>
      </w:r>
      <w:r w:rsidRPr="00682C4B">
        <w:rPr>
          <w:rFonts w:ascii="Verdana" w:hAnsi="Verdana"/>
          <w:b/>
          <w:szCs w:val="22"/>
          <w:lang w:val="lt-LT"/>
        </w:rPr>
        <w:t>VSDS</w:t>
      </w:r>
      <w:r w:rsidRPr="00682C4B">
        <w:rPr>
          <w:rFonts w:ascii="Verdana" w:hAnsi="Verdana"/>
          <w:szCs w:val="22"/>
          <w:lang w:val="lt-LT"/>
        </w:rPr>
        <w:t xml:space="preserve"> skaičiuojamas visiems darbuotojams: tiems, kurie praėjusiais mokslo metais dirbo pilną ar net didesnį darbo krūvį, ir tiems, kurie dirbo nepilną darbo laiką.</w:t>
      </w:r>
    </w:p>
    <w:p w14:paraId="0E913F71" w14:textId="77777777" w:rsidR="000D4E1F" w:rsidRPr="00682C4B" w:rsidRDefault="000D4E1F" w:rsidP="000D4E1F">
      <w:pPr>
        <w:jc w:val="both"/>
        <w:rPr>
          <w:rFonts w:ascii="Verdana" w:hAnsi="Verdana"/>
          <w:sz w:val="22"/>
          <w:szCs w:val="22"/>
          <w:lang w:val="lt-LT"/>
        </w:rPr>
      </w:pPr>
      <w:r w:rsidRPr="00682C4B">
        <w:rPr>
          <w:rFonts w:ascii="Verdana" w:hAnsi="Verdana"/>
          <w:sz w:val="22"/>
          <w:szCs w:val="22"/>
          <w:lang w:val="lt-LT"/>
        </w:rPr>
        <w:t xml:space="preserve">Bendras </w:t>
      </w:r>
      <w:r w:rsidRPr="00682C4B">
        <w:rPr>
          <w:rFonts w:ascii="Verdana" w:hAnsi="Verdana"/>
          <w:b/>
          <w:sz w:val="22"/>
          <w:szCs w:val="22"/>
          <w:lang w:val="lt-LT"/>
        </w:rPr>
        <w:t xml:space="preserve">VSDS </w:t>
      </w:r>
      <w:r w:rsidRPr="00682C4B">
        <w:rPr>
          <w:rFonts w:ascii="Verdana" w:hAnsi="Verdana"/>
          <w:sz w:val="22"/>
          <w:szCs w:val="22"/>
          <w:lang w:val="lt-LT"/>
        </w:rPr>
        <w:t xml:space="preserve"> apskaičiuojamas susumavus darbuotojų visas praėjusiais mokslo metais faktiškai dirbtas valandas ir gautą sumą padalinus iš nustatytos arba apskaičiuotos mokslo metams pedagoginio arba kito darbo valandų normos (</w:t>
      </w:r>
      <w:r w:rsidRPr="00682C4B">
        <w:rPr>
          <w:rFonts w:ascii="Verdana" w:hAnsi="Verdana"/>
          <w:b/>
          <w:sz w:val="22"/>
          <w:szCs w:val="22"/>
          <w:lang w:val="lt-LT"/>
        </w:rPr>
        <w:t>JVDLE</w:t>
      </w:r>
      <w:r w:rsidRPr="00682C4B">
        <w:rPr>
          <w:rFonts w:ascii="Verdana" w:hAnsi="Verdana"/>
          <w:sz w:val="22"/>
          <w:szCs w:val="22"/>
          <w:lang w:val="lt-LT"/>
        </w:rPr>
        <w:t>).</w:t>
      </w:r>
    </w:p>
    <w:p w14:paraId="753B8393" w14:textId="77777777" w:rsidR="000D4E1F" w:rsidRPr="00682C4B" w:rsidRDefault="000D4E1F" w:rsidP="000D4E1F">
      <w:pPr>
        <w:jc w:val="both"/>
        <w:rPr>
          <w:rFonts w:ascii="Verdana" w:hAnsi="Verdana"/>
          <w:sz w:val="22"/>
          <w:szCs w:val="22"/>
          <w:lang w:val="lt-LT"/>
        </w:rPr>
      </w:pPr>
    </w:p>
    <w:p w14:paraId="0733A115" w14:textId="77777777" w:rsidR="000D4E1F" w:rsidRPr="00682C4B" w:rsidRDefault="000D4E1F" w:rsidP="000D4E1F">
      <w:pPr>
        <w:rPr>
          <w:rFonts w:ascii="Verdana" w:hAnsi="Verdana"/>
          <w:sz w:val="22"/>
          <w:szCs w:val="22"/>
          <w:lang w:val="lt-LT"/>
        </w:rPr>
      </w:pPr>
      <w:r w:rsidRPr="00682C4B">
        <w:rPr>
          <w:rStyle w:val="Grietas"/>
          <w:rFonts w:ascii="Verdana" w:hAnsi="Verdana"/>
          <w:sz w:val="22"/>
          <w:szCs w:val="22"/>
          <w:u w:val="single"/>
          <w:lang w:val="lt-LT"/>
        </w:rPr>
        <w:lastRenderedPageBreak/>
        <w:t>Vidutinio sąlyginio darbuotojų skaičiaus apskaičiavimo pavyzdys</w:t>
      </w:r>
      <w:r w:rsidRPr="00682C4B">
        <w:rPr>
          <w:rFonts w:ascii="Verdana" w:hAnsi="Verdana"/>
          <w:sz w:val="22"/>
          <w:szCs w:val="22"/>
          <w:lang w:val="lt-LT"/>
        </w:rPr>
        <w:t xml:space="preserve"> </w:t>
      </w:r>
    </w:p>
    <w:p w14:paraId="62B74DB6" w14:textId="77777777" w:rsidR="000D4E1F" w:rsidRPr="00682C4B" w:rsidRDefault="000D4E1F" w:rsidP="000D4E1F">
      <w:pPr>
        <w:rPr>
          <w:rFonts w:ascii="Verdana" w:hAnsi="Verdana"/>
          <w:sz w:val="22"/>
          <w:szCs w:val="22"/>
          <w:lang w:val="lt-LT"/>
        </w:rPr>
      </w:pPr>
    </w:p>
    <w:p w14:paraId="2D2D29F7" w14:textId="75379531" w:rsidR="000D4E1F" w:rsidRPr="00682C4B" w:rsidRDefault="000D4E1F" w:rsidP="00695035">
      <w:pPr>
        <w:pStyle w:val="Sraopastraipa"/>
        <w:numPr>
          <w:ilvl w:val="0"/>
          <w:numId w:val="5"/>
        </w:numPr>
        <w:rPr>
          <w:rFonts w:ascii="Verdana" w:hAnsi="Verdana"/>
          <w:sz w:val="22"/>
          <w:szCs w:val="22"/>
          <w:lang w:val="lt-LT"/>
        </w:rPr>
      </w:pPr>
      <w:r w:rsidRPr="00682C4B">
        <w:rPr>
          <w:rFonts w:ascii="Verdana" w:hAnsi="Verdana"/>
          <w:sz w:val="22"/>
          <w:szCs w:val="22"/>
          <w:lang w:val="lt-LT"/>
        </w:rPr>
        <w:t>Savaitinė darbo laiko norma</w:t>
      </w:r>
      <w:r w:rsidR="00B92EDE" w:rsidRPr="00682C4B">
        <w:rPr>
          <w:rFonts w:ascii="Verdana" w:hAnsi="Verdana"/>
          <w:sz w:val="22"/>
          <w:szCs w:val="22"/>
          <w:lang w:val="lt-LT"/>
        </w:rPr>
        <w:t xml:space="preserve"> (pagal </w:t>
      </w:r>
      <w:r w:rsidR="00D56CCA" w:rsidRPr="00682C4B">
        <w:rPr>
          <w:rFonts w:ascii="Verdana" w:hAnsi="Verdana"/>
          <w:sz w:val="22"/>
          <w:szCs w:val="22"/>
          <w:lang w:val="lt-LT"/>
        </w:rPr>
        <w:t>Lietuvos Respublikos valstybės ir savivaldybių įstaigų darb</w:t>
      </w:r>
      <w:r w:rsidR="00695035" w:rsidRPr="00682C4B">
        <w:rPr>
          <w:rFonts w:ascii="Verdana" w:hAnsi="Verdana"/>
          <w:sz w:val="22"/>
          <w:szCs w:val="22"/>
          <w:lang w:val="lt-LT"/>
        </w:rPr>
        <w:t>uotojų darbo apmokėjimo įstatymo</w:t>
      </w:r>
      <w:r w:rsidR="00D56CCA" w:rsidRPr="00682C4B">
        <w:rPr>
          <w:rFonts w:ascii="Verdana" w:hAnsi="Verdana"/>
          <w:sz w:val="22"/>
          <w:szCs w:val="22"/>
          <w:lang w:val="lt-LT"/>
        </w:rPr>
        <w:t xml:space="preserve"> </w:t>
      </w:r>
      <w:r w:rsidR="00B92EDE" w:rsidRPr="00682C4B">
        <w:rPr>
          <w:rFonts w:ascii="Verdana" w:hAnsi="Verdana"/>
          <w:sz w:val="22"/>
          <w:szCs w:val="22"/>
          <w:lang w:val="lt-LT"/>
        </w:rPr>
        <w:t>NR. XIII-198</w:t>
      </w:r>
      <w:r w:rsidR="00F964E9" w:rsidRPr="00682C4B">
        <w:rPr>
          <w:rFonts w:ascii="Verdana" w:hAnsi="Verdana"/>
          <w:sz w:val="22"/>
          <w:szCs w:val="22"/>
          <w:lang w:val="lt-LT"/>
        </w:rPr>
        <w:t xml:space="preserve"> </w:t>
      </w:r>
      <w:r w:rsidR="00695035" w:rsidRPr="00682C4B">
        <w:rPr>
          <w:rFonts w:ascii="Verdana" w:hAnsi="Verdana"/>
          <w:sz w:val="22"/>
          <w:szCs w:val="22"/>
        </w:rPr>
        <w:t xml:space="preserve"> </w:t>
      </w:r>
      <w:r w:rsidR="00695035" w:rsidRPr="00682C4B">
        <w:rPr>
          <w:rFonts w:ascii="Verdana" w:hAnsi="Verdana"/>
          <w:sz w:val="22"/>
          <w:szCs w:val="22"/>
          <w:lang w:val="lt-LT"/>
        </w:rPr>
        <w:t xml:space="preserve">2, 3, 4, 7, 8, 14, 17 straipsnių ir 5 priedo </w:t>
      </w:r>
      <w:proofErr w:type="spellStart"/>
      <w:r w:rsidR="00695035" w:rsidRPr="00682C4B">
        <w:rPr>
          <w:rFonts w:ascii="Verdana" w:hAnsi="Verdana"/>
          <w:sz w:val="22"/>
          <w:szCs w:val="22"/>
          <w:lang w:val="lt-LT"/>
        </w:rPr>
        <w:t>paketimo</w:t>
      </w:r>
      <w:proofErr w:type="spellEnd"/>
      <w:r w:rsidR="00695035" w:rsidRPr="00682C4B">
        <w:rPr>
          <w:rFonts w:ascii="Verdana" w:hAnsi="Verdana"/>
          <w:sz w:val="22"/>
          <w:szCs w:val="22"/>
          <w:lang w:val="lt-LT"/>
        </w:rPr>
        <w:t xml:space="preserve">  </w:t>
      </w:r>
      <w:r w:rsidR="00F964E9" w:rsidRPr="00682C4B">
        <w:rPr>
          <w:rFonts w:ascii="Verdana" w:hAnsi="Verdana"/>
          <w:sz w:val="22"/>
          <w:szCs w:val="22"/>
          <w:lang w:val="lt-LT"/>
        </w:rPr>
        <w:t>įstatymą)</w:t>
      </w:r>
      <w:r w:rsidRPr="00682C4B">
        <w:rPr>
          <w:rFonts w:ascii="Verdana" w:hAnsi="Verdana"/>
          <w:sz w:val="22"/>
          <w:szCs w:val="22"/>
          <w:lang w:val="lt-LT"/>
        </w:rPr>
        <w:t>:</w:t>
      </w:r>
    </w:p>
    <w:p w14:paraId="6E5C1AAC" w14:textId="77777777" w:rsidR="008C0876" w:rsidRPr="00682C4B" w:rsidRDefault="008C0876" w:rsidP="008C0876">
      <w:pPr>
        <w:pStyle w:val="Sraopastraipa"/>
        <w:rPr>
          <w:rFonts w:ascii="Verdana" w:hAnsi="Verdana"/>
          <w:sz w:val="22"/>
          <w:szCs w:val="22"/>
          <w:lang w:val="lt-LT"/>
        </w:rPr>
      </w:pPr>
    </w:p>
    <w:p w14:paraId="38AFC352" w14:textId="605DC775" w:rsidR="000D4E1F" w:rsidRPr="00682C4B" w:rsidRDefault="008C0876" w:rsidP="000D4E1F">
      <w:pPr>
        <w:ind w:left="720"/>
        <w:rPr>
          <w:rFonts w:ascii="Verdana" w:hAnsi="Verdana"/>
          <w:sz w:val="22"/>
          <w:szCs w:val="22"/>
          <w:lang w:val="lt-LT"/>
        </w:rPr>
      </w:pPr>
      <w:r w:rsidRPr="00682C4B">
        <w:rPr>
          <w:rFonts w:ascii="Verdana" w:hAnsi="Verdana"/>
          <w:sz w:val="22"/>
          <w:szCs w:val="22"/>
          <w:lang w:val="lt-LT"/>
        </w:rPr>
        <w:t>meninio ugdymo mokytojų</w:t>
      </w:r>
      <w:r w:rsidR="00CC66F7" w:rsidRPr="00682C4B">
        <w:rPr>
          <w:rFonts w:ascii="Verdana" w:hAnsi="Verdana"/>
          <w:sz w:val="22"/>
          <w:szCs w:val="22"/>
          <w:lang w:val="lt-LT"/>
        </w:rPr>
        <w:t xml:space="preserve">, dirbančių pagal </w:t>
      </w:r>
      <w:r w:rsidR="00107CD1" w:rsidRPr="00682C4B">
        <w:rPr>
          <w:rFonts w:ascii="Verdana" w:hAnsi="Verdana"/>
          <w:sz w:val="22"/>
          <w:szCs w:val="22"/>
          <w:lang w:val="lt-LT"/>
        </w:rPr>
        <w:t xml:space="preserve">priešmokyklinio ugdymo programa   </w:t>
      </w:r>
      <w:r w:rsidR="00CC66F7" w:rsidRPr="00682C4B">
        <w:rPr>
          <w:rFonts w:ascii="Verdana" w:hAnsi="Verdana"/>
          <w:sz w:val="22"/>
          <w:szCs w:val="22"/>
          <w:lang w:val="lt-LT"/>
        </w:rPr>
        <w:t>26 valandos</w:t>
      </w:r>
      <w:r w:rsidR="00EB3EFB" w:rsidRPr="00682C4B">
        <w:rPr>
          <w:rFonts w:ascii="Verdana" w:hAnsi="Verdana"/>
          <w:sz w:val="22"/>
          <w:szCs w:val="22"/>
          <w:lang w:val="lt-LT"/>
        </w:rPr>
        <w:t>;</w:t>
      </w:r>
      <w:r w:rsidR="000D4E1F" w:rsidRPr="00682C4B">
        <w:rPr>
          <w:rFonts w:ascii="Verdana" w:hAnsi="Verdana"/>
          <w:sz w:val="22"/>
          <w:szCs w:val="22"/>
          <w:lang w:val="lt-LT"/>
        </w:rPr>
        <w:br/>
        <w:t>p</w:t>
      </w:r>
      <w:r w:rsidR="00CE0D84" w:rsidRPr="00682C4B">
        <w:rPr>
          <w:rFonts w:ascii="Verdana" w:hAnsi="Verdana"/>
          <w:sz w:val="22"/>
          <w:szCs w:val="22"/>
          <w:lang w:val="lt-LT"/>
        </w:rPr>
        <w:t>riešmokyklinio ugdymo pedagogų bendrojo ugdymo mokyklose                          36 valandos;</w:t>
      </w:r>
      <w:r w:rsidR="000D4E1F" w:rsidRPr="00682C4B">
        <w:rPr>
          <w:rFonts w:ascii="Verdana" w:hAnsi="Verdana"/>
          <w:sz w:val="22"/>
          <w:szCs w:val="22"/>
          <w:lang w:val="lt-LT"/>
        </w:rPr>
        <w:tab/>
      </w:r>
    </w:p>
    <w:p w14:paraId="49E4EB6B" w14:textId="5A29ED60" w:rsidR="000D4E1F" w:rsidRPr="00682C4B" w:rsidRDefault="000D4E1F" w:rsidP="000D4E1F">
      <w:pPr>
        <w:ind w:left="720"/>
        <w:rPr>
          <w:rFonts w:ascii="Verdana" w:hAnsi="Verdana"/>
          <w:sz w:val="22"/>
          <w:szCs w:val="22"/>
          <w:lang w:val="lt-LT"/>
        </w:rPr>
      </w:pPr>
      <w:r w:rsidRPr="00682C4B">
        <w:rPr>
          <w:rFonts w:ascii="Verdana" w:hAnsi="Verdana"/>
          <w:noProof/>
          <w:sz w:val="22"/>
          <w:szCs w:val="22"/>
          <w:lang w:val="lt-LT"/>
        </w:rPr>
        <w:t>priešmokyklinio ugdymo pedagogų  specialiosiose mokyklose</w:t>
      </w:r>
      <w:r w:rsidRPr="00682C4B">
        <w:rPr>
          <w:rFonts w:ascii="Verdana" w:hAnsi="Verdana"/>
          <w:noProof/>
          <w:sz w:val="22"/>
          <w:szCs w:val="22"/>
          <w:lang w:val="lt-LT"/>
        </w:rPr>
        <w:tab/>
      </w:r>
      <w:r w:rsidR="00EB3EFB" w:rsidRPr="00682C4B">
        <w:rPr>
          <w:rFonts w:ascii="Verdana" w:hAnsi="Verdana"/>
          <w:noProof/>
          <w:sz w:val="22"/>
          <w:szCs w:val="22"/>
          <w:lang w:val="lt-LT"/>
        </w:rPr>
        <w:tab/>
      </w:r>
      <w:r w:rsidRPr="00682C4B">
        <w:rPr>
          <w:rFonts w:ascii="Verdana" w:hAnsi="Verdana"/>
          <w:sz w:val="22"/>
          <w:szCs w:val="22"/>
          <w:lang w:val="lt-LT"/>
        </w:rPr>
        <w:t>26 valandos;</w:t>
      </w:r>
    </w:p>
    <w:p w14:paraId="73EFD1B1" w14:textId="7884C880" w:rsidR="00CE0D84" w:rsidRPr="00682C4B" w:rsidRDefault="00CE0D84" w:rsidP="00CE0D84">
      <w:pPr>
        <w:ind w:left="720"/>
        <w:rPr>
          <w:rFonts w:ascii="Verdana" w:hAnsi="Verdana"/>
          <w:sz w:val="22"/>
          <w:szCs w:val="22"/>
          <w:lang w:val="lt-LT"/>
        </w:rPr>
      </w:pPr>
      <w:r w:rsidRPr="00682C4B">
        <w:rPr>
          <w:rFonts w:ascii="Verdana" w:hAnsi="Verdana"/>
          <w:noProof/>
          <w:sz w:val="22"/>
          <w:szCs w:val="22"/>
          <w:lang w:val="lt-LT"/>
        </w:rPr>
        <w:t>priešmokyklinio ugdymo pedagogų  sanatorijų mokyklose</w:t>
      </w:r>
      <w:r w:rsidRPr="00682C4B">
        <w:rPr>
          <w:rFonts w:ascii="Verdana" w:hAnsi="Verdana"/>
          <w:noProof/>
          <w:sz w:val="22"/>
          <w:szCs w:val="22"/>
          <w:lang w:val="lt-LT"/>
        </w:rPr>
        <w:tab/>
      </w:r>
      <w:r w:rsidRPr="00682C4B">
        <w:rPr>
          <w:rFonts w:ascii="Verdana" w:hAnsi="Verdana"/>
          <w:noProof/>
          <w:sz w:val="22"/>
          <w:szCs w:val="22"/>
          <w:lang w:val="lt-LT"/>
        </w:rPr>
        <w:tab/>
      </w:r>
      <w:r w:rsidRPr="00682C4B">
        <w:rPr>
          <w:rFonts w:ascii="Verdana" w:hAnsi="Verdana"/>
          <w:noProof/>
          <w:sz w:val="22"/>
          <w:szCs w:val="22"/>
          <w:lang w:val="lt-LT"/>
        </w:rPr>
        <w:tab/>
      </w:r>
      <w:r w:rsidRPr="00682C4B">
        <w:rPr>
          <w:rFonts w:ascii="Verdana" w:hAnsi="Verdana"/>
          <w:sz w:val="22"/>
          <w:szCs w:val="22"/>
          <w:lang w:val="lt-LT"/>
        </w:rPr>
        <w:t>26 valandos;</w:t>
      </w:r>
    </w:p>
    <w:p w14:paraId="6E283E69" w14:textId="1318054A" w:rsidR="000D4E1F" w:rsidRPr="00682C4B" w:rsidRDefault="000D4E1F" w:rsidP="000D4E1F">
      <w:pPr>
        <w:ind w:left="720"/>
        <w:rPr>
          <w:rFonts w:ascii="Verdana" w:hAnsi="Verdana"/>
          <w:sz w:val="22"/>
          <w:szCs w:val="22"/>
          <w:lang w:val="lt-LT"/>
        </w:rPr>
      </w:pPr>
      <w:r w:rsidRPr="00682C4B">
        <w:rPr>
          <w:rFonts w:ascii="Verdana" w:hAnsi="Verdana"/>
          <w:sz w:val="22"/>
          <w:szCs w:val="22"/>
          <w:lang w:val="lt-LT"/>
        </w:rPr>
        <w:t>koncertmeisteriams ir akompaniatoriams</w:t>
      </w:r>
      <w:r w:rsidRPr="00682C4B">
        <w:rPr>
          <w:rFonts w:ascii="Verdana" w:hAnsi="Verdana"/>
          <w:sz w:val="22"/>
          <w:szCs w:val="22"/>
          <w:lang w:val="lt-LT"/>
        </w:rPr>
        <w:tab/>
      </w:r>
      <w:r w:rsidRPr="00682C4B">
        <w:rPr>
          <w:rFonts w:ascii="Verdana" w:hAnsi="Verdana"/>
          <w:sz w:val="22"/>
          <w:szCs w:val="22"/>
          <w:lang w:val="lt-LT"/>
        </w:rPr>
        <w:tab/>
      </w:r>
      <w:r w:rsidRPr="00682C4B">
        <w:rPr>
          <w:rFonts w:ascii="Verdana" w:hAnsi="Verdana"/>
          <w:sz w:val="22"/>
          <w:szCs w:val="22"/>
          <w:lang w:val="lt-LT"/>
        </w:rPr>
        <w:tab/>
      </w:r>
      <w:r w:rsidRPr="00682C4B">
        <w:rPr>
          <w:rFonts w:ascii="Verdana" w:hAnsi="Verdana"/>
          <w:sz w:val="22"/>
          <w:szCs w:val="22"/>
          <w:lang w:val="lt-LT"/>
        </w:rPr>
        <w:tab/>
      </w:r>
      <w:r w:rsidR="00107CD1" w:rsidRPr="00682C4B">
        <w:rPr>
          <w:rFonts w:ascii="Verdana" w:hAnsi="Verdana"/>
          <w:sz w:val="22"/>
          <w:szCs w:val="22"/>
          <w:lang w:val="lt-LT"/>
        </w:rPr>
        <w:tab/>
      </w:r>
      <w:r w:rsidRPr="00682C4B">
        <w:rPr>
          <w:rFonts w:ascii="Verdana" w:hAnsi="Verdana"/>
          <w:sz w:val="22"/>
          <w:szCs w:val="22"/>
          <w:lang w:val="lt-LT"/>
        </w:rPr>
        <w:t>26 valandos;</w:t>
      </w:r>
    </w:p>
    <w:p w14:paraId="772F8655" w14:textId="4FB015E1" w:rsidR="00585A7E" w:rsidRPr="00682C4B" w:rsidRDefault="000D4E1F" w:rsidP="000D4E1F">
      <w:pPr>
        <w:ind w:left="720"/>
        <w:rPr>
          <w:rFonts w:ascii="Verdana" w:hAnsi="Verdana"/>
          <w:sz w:val="22"/>
          <w:szCs w:val="22"/>
          <w:lang w:val="lt-LT"/>
        </w:rPr>
      </w:pPr>
      <w:r w:rsidRPr="00682C4B">
        <w:rPr>
          <w:rFonts w:ascii="Verdana" w:hAnsi="Verdana"/>
          <w:sz w:val="22"/>
          <w:szCs w:val="22"/>
          <w:lang w:val="lt-LT"/>
        </w:rPr>
        <w:t>specialiųjų pedagogų</w:t>
      </w:r>
      <w:r w:rsidR="00D44A30" w:rsidRPr="00682C4B">
        <w:rPr>
          <w:rFonts w:ascii="Verdana" w:hAnsi="Verdana"/>
          <w:sz w:val="22"/>
          <w:szCs w:val="22"/>
          <w:lang w:val="lt-LT"/>
        </w:rPr>
        <w:t>, logopedų</w:t>
      </w:r>
      <w:r w:rsidRPr="00682C4B">
        <w:rPr>
          <w:rFonts w:ascii="Verdana" w:hAnsi="Verdana"/>
          <w:sz w:val="22"/>
          <w:szCs w:val="22"/>
          <w:lang w:val="lt-LT"/>
        </w:rPr>
        <w:t xml:space="preserve"> bendrojo </w:t>
      </w:r>
      <w:r w:rsidR="00225B6F" w:rsidRPr="00682C4B">
        <w:rPr>
          <w:rFonts w:ascii="Verdana" w:hAnsi="Verdana"/>
          <w:sz w:val="22"/>
          <w:szCs w:val="22"/>
          <w:lang w:val="lt-LT"/>
        </w:rPr>
        <w:t>ugdymo</w:t>
      </w:r>
      <w:r w:rsidRPr="00682C4B">
        <w:rPr>
          <w:rFonts w:ascii="Verdana" w:hAnsi="Verdana"/>
          <w:sz w:val="22"/>
          <w:szCs w:val="22"/>
          <w:lang w:val="lt-LT"/>
        </w:rPr>
        <w:t xml:space="preserve"> mokyklose    </w:t>
      </w:r>
      <w:r w:rsidRPr="00682C4B">
        <w:rPr>
          <w:rFonts w:ascii="Verdana" w:hAnsi="Verdana"/>
          <w:sz w:val="22"/>
          <w:szCs w:val="22"/>
          <w:lang w:val="lt-LT"/>
        </w:rPr>
        <w:tab/>
      </w:r>
      <w:r w:rsidRPr="00682C4B">
        <w:rPr>
          <w:rFonts w:ascii="Verdana" w:hAnsi="Verdana"/>
          <w:sz w:val="22"/>
          <w:szCs w:val="22"/>
          <w:lang w:val="lt-LT"/>
        </w:rPr>
        <w:tab/>
        <w:t xml:space="preserve">23 valandos; </w:t>
      </w:r>
      <w:r w:rsidRPr="00682C4B">
        <w:rPr>
          <w:rFonts w:ascii="Verdana" w:hAnsi="Verdana"/>
          <w:sz w:val="22"/>
          <w:szCs w:val="22"/>
          <w:lang w:val="lt-LT"/>
        </w:rPr>
        <w:br/>
      </w:r>
      <w:r w:rsidR="00A02913" w:rsidRPr="00682C4B">
        <w:rPr>
          <w:rFonts w:ascii="Verdana" w:hAnsi="Verdana"/>
          <w:sz w:val="22"/>
          <w:szCs w:val="22"/>
          <w:lang w:val="lt-LT"/>
        </w:rPr>
        <w:t>socialinių pedagogų</w:t>
      </w:r>
      <w:r w:rsidR="00585A7E" w:rsidRPr="00682C4B">
        <w:rPr>
          <w:rFonts w:ascii="Verdana" w:hAnsi="Verdana"/>
          <w:sz w:val="22"/>
          <w:szCs w:val="22"/>
          <w:lang w:val="lt-LT"/>
        </w:rPr>
        <w:tab/>
      </w:r>
      <w:r w:rsidR="00585A7E" w:rsidRPr="00682C4B">
        <w:rPr>
          <w:rFonts w:ascii="Verdana" w:hAnsi="Verdana"/>
          <w:sz w:val="22"/>
          <w:szCs w:val="22"/>
          <w:lang w:val="lt-LT"/>
        </w:rPr>
        <w:tab/>
      </w:r>
      <w:r w:rsidR="00585A7E" w:rsidRPr="00682C4B">
        <w:rPr>
          <w:rFonts w:ascii="Verdana" w:hAnsi="Verdana"/>
          <w:sz w:val="22"/>
          <w:szCs w:val="22"/>
          <w:lang w:val="lt-LT"/>
        </w:rPr>
        <w:tab/>
        <w:t xml:space="preserve">       </w:t>
      </w:r>
      <w:r w:rsidR="00585A7E" w:rsidRPr="00682C4B">
        <w:rPr>
          <w:rFonts w:ascii="Verdana" w:hAnsi="Verdana"/>
          <w:sz w:val="22"/>
          <w:szCs w:val="22"/>
          <w:lang w:val="lt-LT"/>
        </w:rPr>
        <w:tab/>
      </w:r>
      <w:r w:rsidR="00585A7E" w:rsidRPr="00682C4B">
        <w:rPr>
          <w:rFonts w:ascii="Verdana" w:hAnsi="Verdana"/>
          <w:sz w:val="22"/>
          <w:szCs w:val="22"/>
          <w:lang w:val="lt-LT"/>
        </w:rPr>
        <w:tab/>
      </w:r>
      <w:r w:rsidR="00585A7E" w:rsidRPr="00682C4B">
        <w:rPr>
          <w:rFonts w:ascii="Verdana" w:hAnsi="Verdana"/>
          <w:sz w:val="22"/>
          <w:szCs w:val="22"/>
          <w:lang w:val="lt-LT"/>
        </w:rPr>
        <w:tab/>
      </w:r>
      <w:r w:rsidR="00585A7E" w:rsidRPr="00682C4B">
        <w:rPr>
          <w:rFonts w:ascii="Verdana" w:hAnsi="Verdana"/>
          <w:sz w:val="22"/>
          <w:szCs w:val="22"/>
          <w:lang w:val="lt-LT"/>
        </w:rPr>
        <w:tab/>
      </w:r>
      <w:r w:rsidR="00585A7E" w:rsidRPr="00682C4B">
        <w:rPr>
          <w:rFonts w:ascii="Verdana" w:hAnsi="Verdana"/>
          <w:sz w:val="22"/>
          <w:szCs w:val="22"/>
          <w:lang w:val="lt-LT"/>
        </w:rPr>
        <w:tab/>
      </w:r>
      <w:r w:rsidR="00107CD1" w:rsidRPr="00682C4B">
        <w:rPr>
          <w:rFonts w:ascii="Verdana" w:hAnsi="Verdana"/>
          <w:sz w:val="22"/>
          <w:szCs w:val="22"/>
          <w:lang w:val="lt-LT"/>
        </w:rPr>
        <w:t>36 vala</w:t>
      </w:r>
      <w:r w:rsidR="00585A7E" w:rsidRPr="00682C4B">
        <w:rPr>
          <w:rFonts w:ascii="Verdana" w:hAnsi="Verdana"/>
          <w:sz w:val="22"/>
          <w:szCs w:val="22"/>
          <w:lang w:val="lt-LT"/>
        </w:rPr>
        <w:t>ndos</w:t>
      </w:r>
    </w:p>
    <w:p w14:paraId="2CA34FBC" w14:textId="2015EC49" w:rsidR="000D4E1F" w:rsidRPr="00682C4B" w:rsidRDefault="00225B6F" w:rsidP="000D4E1F">
      <w:pPr>
        <w:ind w:left="720"/>
        <w:rPr>
          <w:rFonts w:ascii="Verdana" w:hAnsi="Verdana"/>
          <w:sz w:val="22"/>
          <w:szCs w:val="22"/>
          <w:lang w:val="lt-LT"/>
        </w:rPr>
      </w:pPr>
      <w:r w:rsidRPr="00682C4B">
        <w:rPr>
          <w:rFonts w:ascii="Verdana" w:hAnsi="Verdana"/>
          <w:sz w:val="22"/>
          <w:szCs w:val="22"/>
          <w:lang w:val="lt-LT"/>
        </w:rPr>
        <w:t>auklėtojų bendrojo ugdymo mokyklose</w:t>
      </w:r>
      <w:r w:rsidR="000D4E1F" w:rsidRPr="00682C4B">
        <w:rPr>
          <w:rFonts w:ascii="Verdana" w:hAnsi="Verdana"/>
          <w:sz w:val="22"/>
          <w:szCs w:val="22"/>
          <w:lang w:val="lt-LT"/>
        </w:rPr>
        <w:tab/>
      </w:r>
      <w:r w:rsidR="000D4E1F" w:rsidRPr="00682C4B">
        <w:rPr>
          <w:rFonts w:ascii="Verdana" w:hAnsi="Verdana"/>
          <w:sz w:val="22"/>
          <w:szCs w:val="22"/>
          <w:lang w:val="lt-LT"/>
        </w:rPr>
        <w:tab/>
      </w:r>
      <w:r w:rsidR="00107CD1" w:rsidRPr="00682C4B">
        <w:rPr>
          <w:rFonts w:ascii="Verdana" w:hAnsi="Verdana"/>
          <w:sz w:val="22"/>
          <w:szCs w:val="22"/>
          <w:lang w:val="lt-LT"/>
        </w:rPr>
        <w:tab/>
      </w:r>
      <w:r w:rsidR="00107CD1" w:rsidRPr="00682C4B">
        <w:rPr>
          <w:rFonts w:ascii="Verdana" w:hAnsi="Verdana"/>
          <w:sz w:val="22"/>
          <w:szCs w:val="22"/>
          <w:lang w:val="lt-LT"/>
        </w:rPr>
        <w:tab/>
      </w:r>
      <w:r w:rsidR="00107CD1" w:rsidRPr="00682C4B">
        <w:rPr>
          <w:rFonts w:ascii="Verdana" w:hAnsi="Verdana"/>
          <w:sz w:val="22"/>
          <w:szCs w:val="22"/>
          <w:lang w:val="lt-LT"/>
        </w:rPr>
        <w:tab/>
      </w:r>
      <w:r w:rsidR="000D4E1F" w:rsidRPr="00682C4B">
        <w:rPr>
          <w:rFonts w:ascii="Verdana" w:hAnsi="Verdana"/>
          <w:sz w:val="22"/>
          <w:szCs w:val="22"/>
          <w:lang w:val="lt-LT"/>
        </w:rPr>
        <w:t>30 valandų;</w:t>
      </w:r>
    </w:p>
    <w:p w14:paraId="1036AAFA" w14:textId="6B72F407" w:rsidR="000D4E1F" w:rsidRPr="00682C4B" w:rsidRDefault="000D4E1F" w:rsidP="000D4E1F">
      <w:pPr>
        <w:ind w:left="720"/>
        <w:rPr>
          <w:rFonts w:ascii="Verdana" w:hAnsi="Verdana"/>
          <w:sz w:val="22"/>
          <w:szCs w:val="22"/>
          <w:lang w:val="lt-LT"/>
        </w:rPr>
      </w:pPr>
      <w:r w:rsidRPr="00682C4B">
        <w:rPr>
          <w:rFonts w:ascii="Verdana" w:hAnsi="Verdana"/>
          <w:sz w:val="22"/>
          <w:szCs w:val="22"/>
          <w:lang w:val="lt-LT"/>
        </w:rPr>
        <w:t>aukl</w:t>
      </w:r>
      <w:r w:rsidR="0085309D" w:rsidRPr="00682C4B">
        <w:rPr>
          <w:rFonts w:ascii="Verdana" w:hAnsi="Verdana"/>
          <w:sz w:val="22"/>
          <w:szCs w:val="22"/>
          <w:lang w:val="lt-LT"/>
        </w:rPr>
        <w:t xml:space="preserve">ėtojų sanatorinėse </w:t>
      </w:r>
      <w:r w:rsidRPr="00682C4B">
        <w:rPr>
          <w:rFonts w:ascii="Verdana" w:hAnsi="Verdana"/>
          <w:sz w:val="22"/>
          <w:szCs w:val="22"/>
          <w:lang w:val="lt-LT"/>
        </w:rPr>
        <w:t xml:space="preserve"> mokyklose          </w:t>
      </w:r>
      <w:r w:rsidRPr="00682C4B">
        <w:rPr>
          <w:rFonts w:ascii="Verdana" w:hAnsi="Verdana"/>
          <w:sz w:val="22"/>
          <w:szCs w:val="22"/>
          <w:lang w:val="lt-LT"/>
        </w:rPr>
        <w:tab/>
      </w:r>
      <w:r w:rsidRPr="00682C4B">
        <w:rPr>
          <w:rFonts w:ascii="Verdana" w:hAnsi="Verdana"/>
          <w:sz w:val="22"/>
          <w:szCs w:val="22"/>
          <w:lang w:val="lt-LT"/>
        </w:rPr>
        <w:tab/>
      </w:r>
      <w:r w:rsidR="00107CD1" w:rsidRPr="00682C4B">
        <w:rPr>
          <w:rFonts w:ascii="Verdana" w:hAnsi="Verdana"/>
          <w:sz w:val="22"/>
          <w:szCs w:val="22"/>
          <w:lang w:val="lt-LT"/>
        </w:rPr>
        <w:tab/>
      </w:r>
      <w:r w:rsidR="00107CD1" w:rsidRPr="00682C4B">
        <w:rPr>
          <w:rFonts w:ascii="Verdana" w:hAnsi="Verdana"/>
          <w:sz w:val="22"/>
          <w:szCs w:val="22"/>
          <w:lang w:val="lt-LT"/>
        </w:rPr>
        <w:tab/>
      </w:r>
      <w:r w:rsidR="00107CD1" w:rsidRPr="00682C4B">
        <w:rPr>
          <w:rFonts w:ascii="Verdana" w:hAnsi="Verdana"/>
          <w:sz w:val="22"/>
          <w:szCs w:val="22"/>
          <w:lang w:val="lt-LT"/>
        </w:rPr>
        <w:tab/>
      </w:r>
      <w:r w:rsidRPr="00682C4B">
        <w:rPr>
          <w:rFonts w:ascii="Verdana" w:hAnsi="Verdana"/>
          <w:sz w:val="22"/>
          <w:szCs w:val="22"/>
          <w:lang w:val="lt-LT"/>
        </w:rPr>
        <w:t>26 valandos;</w:t>
      </w:r>
    </w:p>
    <w:p w14:paraId="1C49FDD5" w14:textId="551FED60" w:rsidR="000D4E1F" w:rsidRPr="00682C4B" w:rsidRDefault="000D4E1F" w:rsidP="000D4E1F">
      <w:pPr>
        <w:ind w:left="720"/>
        <w:rPr>
          <w:rFonts w:ascii="Verdana" w:hAnsi="Verdana"/>
          <w:sz w:val="22"/>
          <w:szCs w:val="22"/>
          <w:lang w:val="lt-LT"/>
        </w:rPr>
      </w:pPr>
      <w:r w:rsidRPr="00682C4B">
        <w:rPr>
          <w:rFonts w:ascii="Verdana" w:hAnsi="Verdana"/>
          <w:sz w:val="22"/>
          <w:szCs w:val="22"/>
          <w:lang w:val="lt-LT"/>
        </w:rPr>
        <w:t>specialiųjų mokyklų auklėtojams</w:t>
      </w:r>
      <w:r w:rsidRPr="00682C4B">
        <w:rPr>
          <w:rFonts w:ascii="Verdana" w:hAnsi="Verdana"/>
          <w:sz w:val="22"/>
          <w:szCs w:val="22"/>
          <w:lang w:val="lt-LT"/>
        </w:rPr>
        <w:tab/>
      </w:r>
      <w:r w:rsidRPr="00682C4B">
        <w:rPr>
          <w:rFonts w:ascii="Verdana" w:hAnsi="Verdana"/>
          <w:sz w:val="22"/>
          <w:szCs w:val="22"/>
          <w:lang w:val="lt-LT"/>
        </w:rPr>
        <w:tab/>
      </w:r>
      <w:r w:rsidRPr="00682C4B">
        <w:rPr>
          <w:rFonts w:ascii="Verdana" w:hAnsi="Verdana"/>
          <w:sz w:val="22"/>
          <w:szCs w:val="22"/>
          <w:lang w:val="lt-LT"/>
        </w:rPr>
        <w:tab/>
        <w:t xml:space="preserve">        </w:t>
      </w:r>
      <w:r w:rsidRPr="00682C4B">
        <w:rPr>
          <w:rFonts w:ascii="Verdana" w:hAnsi="Verdana"/>
          <w:sz w:val="22"/>
          <w:szCs w:val="22"/>
          <w:lang w:val="lt-LT"/>
        </w:rPr>
        <w:tab/>
      </w:r>
      <w:r w:rsidRPr="00682C4B">
        <w:rPr>
          <w:rFonts w:ascii="Verdana" w:hAnsi="Verdana"/>
          <w:sz w:val="22"/>
          <w:szCs w:val="22"/>
          <w:lang w:val="lt-LT"/>
        </w:rPr>
        <w:tab/>
      </w:r>
      <w:r w:rsidR="0085309D" w:rsidRPr="00682C4B">
        <w:rPr>
          <w:rFonts w:ascii="Verdana" w:hAnsi="Verdana"/>
          <w:sz w:val="22"/>
          <w:szCs w:val="22"/>
          <w:lang w:val="lt-LT"/>
        </w:rPr>
        <w:tab/>
      </w:r>
      <w:r w:rsidRPr="00682C4B">
        <w:rPr>
          <w:rFonts w:ascii="Verdana" w:hAnsi="Verdana"/>
          <w:sz w:val="22"/>
          <w:szCs w:val="22"/>
          <w:lang w:val="lt-LT"/>
        </w:rPr>
        <w:t xml:space="preserve">26 valandos; </w:t>
      </w:r>
    </w:p>
    <w:p w14:paraId="3463FAF6" w14:textId="3408A369" w:rsidR="000D4E1F" w:rsidRPr="00682C4B" w:rsidRDefault="000D4E1F" w:rsidP="000D4E1F">
      <w:pPr>
        <w:ind w:left="720"/>
        <w:rPr>
          <w:rFonts w:ascii="Verdana" w:hAnsi="Verdana"/>
          <w:sz w:val="22"/>
          <w:szCs w:val="22"/>
          <w:lang w:val="lt-LT"/>
        </w:rPr>
      </w:pPr>
      <w:r w:rsidRPr="00682C4B">
        <w:rPr>
          <w:rFonts w:ascii="Verdana" w:hAnsi="Verdana"/>
          <w:sz w:val="22"/>
          <w:szCs w:val="22"/>
          <w:lang w:val="lt-LT"/>
        </w:rPr>
        <w:t>vadovų</w:t>
      </w:r>
      <w:r w:rsidRPr="00682C4B">
        <w:rPr>
          <w:rFonts w:ascii="Verdana" w:hAnsi="Verdana"/>
          <w:sz w:val="22"/>
          <w:szCs w:val="22"/>
          <w:lang w:val="lt-LT"/>
        </w:rPr>
        <w:tab/>
      </w:r>
      <w:r w:rsidRPr="00682C4B">
        <w:rPr>
          <w:rFonts w:ascii="Verdana" w:hAnsi="Verdana"/>
          <w:sz w:val="22"/>
          <w:szCs w:val="22"/>
          <w:lang w:val="lt-LT"/>
        </w:rPr>
        <w:tab/>
      </w:r>
      <w:r w:rsidRPr="00682C4B">
        <w:rPr>
          <w:rFonts w:ascii="Verdana" w:hAnsi="Verdana"/>
          <w:sz w:val="22"/>
          <w:szCs w:val="22"/>
          <w:lang w:val="lt-LT"/>
        </w:rPr>
        <w:tab/>
      </w:r>
      <w:r w:rsidRPr="00682C4B">
        <w:rPr>
          <w:rFonts w:ascii="Verdana" w:hAnsi="Verdana"/>
          <w:sz w:val="22"/>
          <w:szCs w:val="22"/>
          <w:lang w:val="lt-LT"/>
        </w:rPr>
        <w:tab/>
      </w:r>
      <w:r w:rsidRPr="00682C4B">
        <w:rPr>
          <w:rFonts w:ascii="Verdana" w:hAnsi="Verdana"/>
          <w:sz w:val="22"/>
          <w:szCs w:val="22"/>
          <w:lang w:val="lt-LT"/>
        </w:rPr>
        <w:tab/>
      </w:r>
      <w:r w:rsidRPr="00682C4B">
        <w:rPr>
          <w:rFonts w:ascii="Verdana" w:hAnsi="Verdana"/>
          <w:sz w:val="22"/>
          <w:szCs w:val="22"/>
          <w:lang w:val="lt-LT"/>
        </w:rPr>
        <w:tab/>
        <w:t xml:space="preserve">        </w:t>
      </w:r>
      <w:r w:rsidRPr="00682C4B">
        <w:rPr>
          <w:rFonts w:ascii="Verdana" w:hAnsi="Verdana"/>
          <w:sz w:val="22"/>
          <w:szCs w:val="22"/>
          <w:lang w:val="lt-LT"/>
        </w:rPr>
        <w:tab/>
      </w:r>
      <w:r w:rsidRPr="00682C4B">
        <w:rPr>
          <w:rFonts w:ascii="Verdana" w:hAnsi="Verdana"/>
          <w:sz w:val="22"/>
          <w:szCs w:val="22"/>
          <w:lang w:val="lt-LT"/>
        </w:rPr>
        <w:tab/>
      </w:r>
      <w:r w:rsidR="00D242FC" w:rsidRPr="00682C4B">
        <w:rPr>
          <w:rFonts w:ascii="Verdana" w:hAnsi="Verdana"/>
          <w:sz w:val="22"/>
          <w:szCs w:val="22"/>
          <w:lang w:val="lt-LT"/>
        </w:rPr>
        <w:tab/>
      </w:r>
      <w:r w:rsidR="0085309D" w:rsidRPr="00682C4B">
        <w:rPr>
          <w:rFonts w:ascii="Verdana" w:hAnsi="Verdana"/>
          <w:sz w:val="22"/>
          <w:szCs w:val="22"/>
          <w:lang w:val="lt-LT"/>
        </w:rPr>
        <w:tab/>
      </w:r>
      <w:r w:rsidRPr="00682C4B">
        <w:rPr>
          <w:rFonts w:ascii="Verdana" w:hAnsi="Verdana"/>
          <w:sz w:val="22"/>
          <w:szCs w:val="22"/>
          <w:lang w:val="lt-LT"/>
        </w:rPr>
        <w:t>40 valandų</w:t>
      </w:r>
      <w:r w:rsidR="00107CD1" w:rsidRPr="00682C4B">
        <w:rPr>
          <w:rFonts w:ascii="Verdana" w:hAnsi="Verdana"/>
          <w:sz w:val="22"/>
          <w:szCs w:val="22"/>
          <w:lang w:val="lt-LT"/>
        </w:rPr>
        <w:t>.</w:t>
      </w:r>
    </w:p>
    <w:p w14:paraId="6DF2CA5E" w14:textId="77777777" w:rsidR="00107CD1" w:rsidRPr="00682C4B" w:rsidRDefault="00107CD1" w:rsidP="000D4E1F">
      <w:pPr>
        <w:ind w:left="720"/>
        <w:rPr>
          <w:rFonts w:ascii="Verdana" w:hAnsi="Verdana"/>
          <w:sz w:val="22"/>
          <w:szCs w:val="22"/>
          <w:lang w:val="lt-LT"/>
        </w:rPr>
      </w:pPr>
    </w:p>
    <w:p w14:paraId="0876571A" w14:textId="77777777" w:rsidR="00695035" w:rsidRPr="00682C4B" w:rsidRDefault="00695035" w:rsidP="00695035">
      <w:pPr>
        <w:rPr>
          <w:rFonts w:ascii="Verdana" w:hAnsi="Verdana"/>
          <w:sz w:val="22"/>
          <w:szCs w:val="22"/>
          <w:lang w:val="lt-LT"/>
        </w:rPr>
      </w:pPr>
      <w:r w:rsidRPr="00682C4B">
        <w:rPr>
          <w:rFonts w:ascii="Verdana" w:hAnsi="Verdana"/>
          <w:sz w:val="22"/>
          <w:szCs w:val="22"/>
          <w:lang w:val="lt-LT"/>
        </w:rPr>
        <w:t xml:space="preserve">2. Mokytojų, dirbančių pagal bendrojo ugdymo švietimo programas etatą sudaro 1512 valandų per mokslo metus.   </w:t>
      </w:r>
    </w:p>
    <w:p w14:paraId="6C74AF8B" w14:textId="77777777" w:rsidR="000D4E1F" w:rsidRPr="00682C4B" w:rsidRDefault="000D4E1F" w:rsidP="000D4E1F">
      <w:pPr>
        <w:rPr>
          <w:rFonts w:ascii="Verdana" w:hAnsi="Verdana"/>
          <w:sz w:val="22"/>
          <w:szCs w:val="22"/>
          <w:lang w:val="lt-LT"/>
        </w:rPr>
      </w:pPr>
    </w:p>
    <w:p w14:paraId="537F5FAE" w14:textId="77777777" w:rsidR="000D4E1F" w:rsidRPr="00682C4B" w:rsidRDefault="000D4E1F" w:rsidP="000D4E1F">
      <w:pPr>
        <w:rPr>
          <w:rFonts w:ascii="Verdana" w:hAnsi="Verdana"/>
          <w:sz w:val="22"/>
          <w:szCs w:val="22"/>
          <w:lang w:val="lt-LT"/>
        </w:rPr>
      </w:pPr>
      <w:r w:rsidRPr="00682C4B">
        <w:rPr>
          <w:rFonts w:ascii="Verdana" w:hAnsi="Verdana"/>
          <w:sz w:val="22"/>
          <w:szCs w:val="22"/>
          <w:lang w:val="lt-LT"/>
        </w:rPr>
        <w:t>3. Sudedame visas mokytojo faktiškai dirbtas valandas per metus. Tikslingai būtų naudotis darbo laiko apskaitos žiniaraščiais (tabeliais).</w:t>
      </w:r>
    </w:p>
    <w:p w14:paraId="58867D89" w14:textId="77777777" w:rsidR="000D4E1F" w:rsidRPr="00682C4B" w:rsidRDefault="000D4E1F" w:rsidP="000D4E1F">
      <w:pPr>
        <w:rPr>
          <w:rFonts w:ascii="Verdana" w:hAnsi="Verdana"/>
          <w:sz w:val="22"/>
          <w:szCs w:val="22"/>
          <w:lang w:val="lt-LT"/>
        </w:rPr>
      </w:pPr>
      <w:r w:rsidRPr="00682C4B">
        <w:rPr>
          <w:rFonts w:ascii="Verdana" w:hAnsi="Verdana"/>
          <w:b/>
          <w:sz w:val="22"/>
          <w:szCs w:val="22"/>
          <w:lang w:val="lt-LT"/>
        </w:rPr>
        <w:t>Pvz.:</w:t>
      </w:r>
      <w:r w:rsidRPr="00682C4B">
        <w:rPr>
          <w:rFonts w:ascii="Verdana" w:hAnsi="Verdana"/>
          <w:sz w:val="22"/>
          <w:szCs w:val="22"/>
          <w:lang w:val="lt-LT"/>
        </w:rPr>
        <w:t xml:space="preserve"> mokytojas sausio mėn. dirba - 136 val., vasario - 136 val., kovo - 72 val. </w:t>
      </w:r>
    </w:p>
    <w:p w14:paraId="3A8ADD1E" w14:textId="77777777" w:rsidR="000D4E1F" w:rsidRPr="00682C4B" w:rsidRDefault="000D4E1F" w:rsidP="000D4E1F">
      <w:pPr>
        <w:rPr>
          <w:rFonts w:ascii="Verdana" w:hAnsi="Verdana"/>
          <w:sz w:val="22"/>
          <w:szCs w:val="22"/>
          <w:lang w:val="lt-LT"/>
        </w:rPr>
      </w:pPr>
      <w:r w:rsidRPr="00682C4B">
        <w:rPr>
          <w:rFonts w:ascii="Verdana" w:hAnsi="Verdana"/>
          <w:sz w:val="22"/>
          <w:szCs w:val="22"/>
          <w:lang w:val="lt-LT"/>
        </w:rPr>
        <w:t xml:space="preserve">balandžio - 136 ir t.t. Tada sudedame visų mėnesių dirbtas valandas, </w:t>
      </w:r>
    </w:p>
    <w:p w14:paraId="7C519466" w14:textId="77777777" w:rsidR="000D4E1F" w:rsidRPr="00682C4B" w:rsidRDefault="000D4E1F" w:rsidP="000D4E1F">
      <w:pPr>
        <w:rPr>
          <w:rFonts w:ascii="Verdana" w:hAnsi="Verdana"/>
          <w:sz w:val="22"/>
          <w:szCs w:val="22"/>
          <w:lang w:val="lt-LT"/>
        </w:rPr>
      </w:pPr>
      <w:proofErr w:type="spellStart"/>
      <w:r w:rsidRPr="00682C4B">
        <w:rPr>
          <w:rFonts w:ascii="Verdana" w:hAnsi="Verdana"/>
          <w:sz w:val="22"/>
          <w:szCs w:val="22"/>
          <w:lang w:val="lt-LT"/>
        </w:rPr>
        <w:t>t.y</w:t>
      </w:r>
      <w:proofErr w:type="spellEnd"/>
      <w:r w:rsidRPr="00682C4B">
        <w:rPr>
          <w:rFonts w:ascii="Verdana" w:hAnsi="Verdana"/>
          <w:sz w:val="22"/>
          <w:szCs w:val="22"/>
          <w:lang w:val="lt-LT"/>
        </w:rPr>
        <w:t xml:space="preserve">. 136+136+72+136+ ir t.t.= X1 (gauname vieno mokytojo faktiškai dirbtas valandas). </w:t>
      </w:r>
    </w:p>
    <w:p w14:paraId="60B6F85A" w14:textId="77777777" w:rsidR="000D4E1F" w:rsidRPr="00682C4B" w:rsidRDefault="000D4E1F" w:rsidP="000D4E1F">
      <w:pPr>
        <w:rPr>
          <w:rFonts w:ascii="Verdana" w:hAnsi="Verdana"/>
          <w:sz w:val="22"/>
          <w:szCs w:val="22"/>
          <w:lang w:val="lt-LT"/>
        </w:rPr>
      </w:pPr>
      <w:r w:rsidRPr="00682C4B">
        <w:rPr>
          <w:rFonts w:ascii="Verdana" w:hAnsi="Verdana"/>
          <w:sz w:val="22"/>
          <w:szCs w:val="22"/>
          <w:lang w:val="lt-LT"/>
        </w:rPr>
        <w:t xml:space="preserve">Prašome atkreipti dėmesį, kad atostogos žymimos kaip darbo dienos, ir jų valandas taip pat įskaičiuojamos. </w:t>
      </w:r>
    </w:p>
    <w:p w14:paraId="666272BA" w14:textId="77777777" w:rsidR="000D4E1F" w:rsidRPr="00682C4B" w:rsidRDefault="000D4E1F" w:rsidP="000D4E1F">
      <w:pPr>
        <w:rPr>
          <w:rFonts w:ascii="Verdana" w:hAnsi="Verdana"/>
          <w:sz w:val="22"/>
          <w:szCs w:val="22"/>
          <w:lang w:val="lt-LT"/>
        </w:rPr>
      </w:pPr>
    </w:p>
    <w:p w14:paraId="69D84832" w14:textId="77777777" w:rsidR="000D4E1F" w:rsidRPr="00682C4B" w:rsidRDefault="000D4E1F" w:rsidP="000D4E1F">
      <w:pPr>
        <w:rPr>
          <w:rFonts w:ascii="Verdana" w:hAnsi="Verdana"/>
          <w:sz w:val="22"/>
          <w:szCs w:val="22"/>
          <w:lang w:val="lt-LT"/>
        </w:rPr>
      </w:pPr>
      <w:r w:rsidRPr="00682C4B">
        <w:rPr>
          <w:rFonts w:ascii="Verdana" w:hAnsi="Verdana"/>
          <w:sz w:val="22"/>
          <w:szCs w:val="22"/>
          <w:lang w:val="lt-LT"/>
        </w:rPr>
        <w:t xml:space="preserve">4. Taip suskaičiuojame visų mokytojų (kiekvienam atskirai) faktiškai dirbtas valandas per metus ir sudedame, </w:t>
      </w:r>
      <w:proofErr w:type="spellStart"/>
      <w:r w:rsidRPr="00682C4B">
        <w:rPr>
          <w:rFonts w:ascii="Verdana" w:hAnsi="Verdana"/>
          <w:sz w:val="22"/>
          <w:szCs w:val="22"/>
          <w:lang w:val="lt-LT"/>
        </w:rPr>
        <w:t>t.y</w:t>
      </w:r>
      <w:proofErr w:type="spellEnd"/>
      <w:r w:rsidRPr="00682C4B">
        <w:rPr>
          <w:rFonts w:ascii="Verdana" w:hAnsi="Verdana"/>
          <w:sz w:val="22"/>
          <w:szCs w:val="22"/>
          <w:lang w:val="lt-LT"/>
        </w:rPr>
        <w:t>. X1+X2+X3+ ......+XN=Y.</w:t>
      </w:r>
    </w:p>
    <w:p w14:paraId="2956A552" w14:textId="77777777" w:rsidR="000D4E1F" w:rsidRPr="00682C4B" w:rsidRDefault="000D4E1F" w:rsidP="000D4E1F">
      <w:pPr>
        <w:rPr>
          <w:rFonts w:ascii="Verdana" w:hAnsi="Verdana"/>
          <w:sz w:val="22"/>
          <w:szCs w:val="22"/>
          <w:lang w:val="lt-LT"/>
        </w:rPr>
      </w:pPr>
      <w:r w:rsidRPr="00682C4B">
        <w:rPr>
          <w:rFonts w:ascii="Verdana" w:hAnsi="Verdana"/>
          <w:sz w:val="22"/>
          <w:szCs w:val="22"/>
          <w:lang w:val="lt-LT"/>
        </w:rPr>
        <w:t xml:space="preserve"> </w:t>
      </w:r>
    </w:p>
    <w:p w14:paraId="7C10F7A1" w14:textId="77777777" w:rsidR="000D4E1F" w:rsidRPr="00682C4B" w:rsidRDefault="000D4E1F" w:rsidP="000D4E1F">
      <w:pPr>
        <w:rPr>
          <w:rFonts w:ascii="Verdana" w:hAnsi="Verdana"/>
          <w:sz w:val="22"/>
          <w:szCs w:val="22"/>
          <w:lang w:val="lt-LT"/>
        </w:rPr>
      </w:pPr>
      <w:r w:rsidRPr="00682C4B">
        <w:rPr>
          <w:rFonts w:ascii="Verdana" w:hAnsi="Verdana"/>
          <w:sz w:val="22"/>
          <w:szCs w:val="22"/>
          <w:lang w:val="lt-LT"/>
        </w:rPr>
        <w:t xml:space="preserve">5. Gautą sumą (šiuo atveju Y) daliname iš metams nustatytos (vienos) darbo valandų normos, </w:t>
      </w:r>
      <w:proofErr w:type="spellStart"/>
      <w:r w:rsidRPr="00682C4B">
        <w:rPr>
          <w:rFonts w:ascii="Verdana" w:hAnsi="Verdana"/>
          <w:sz w:val="22"/>
          <w:szCs w:val="22"/>
          <w:lang w:val="lt-LT"/>
        </w:rPr>
        <w:t>t.y</w:t>
      </w:r>
      <w:proofErr w:type="spellEnd"/>
      <w:r w:rsidRPr="00682C4B">
        <w:rPr>
          <w:rFonts w:ascii="Verdana" w:hAnsi="Verdana"/>
          <w:sz w:val="22"/>
          <w:szCs w:val="22"/>
          <w:lang w:val="lt-LT"/>
        </w:rPr>
        <w:t>. 1512</w:t>
      </w:r>
    </w:p>
    <w:p w14:paraId="31F8C836" w14:textId="77777777" w:rsidR="000D4E1F" w:rsidRPr="00682C4B" w:rsidRDefault="000D4E1F" w:rsidP="000D4E1F">
      <w:pPr>
        <w:rPr>
          <w:rStyle w:val="Grietas"/>
          <w:rFonts w:ascii="Verdana" w:hAnsi="Verdana"/>
          <w:sz w:val="22"/>
          <w:szCs w:val="22"/>
          <w:lang w:val="lt-LT"/>
        </w:rPr>
      </w:pPr>
      <w:r w:rsidRPr="00682C4B">
        <w:rPr>
          <w:rStyle w:val="Grietas"/>
          <w:rFonts w:ascii="Verdana" w:hAnsi="Verdana"/>
          <w:sz w:val="22"/>
          <w:szCs w:val="22"/>
          <w:lang w:val="lt-LT"/>
        </w:rPr>
        <w:t>Y/ 1512= SDS.</w:t>
      </w:r>
    </w:p>
    <w:p w14:paraId="302588AC" w14:textId="77777777" w:rsidR="000D4E1F" w:rsidRPr="00682C4B" w:rsidRDefault="000D4E1F" w:rsidP="000D4E1F">
      <w:pPr>
        <w:rPr>
          <w:rStyle w:val="Grietas"/>
          <w:rFonts w:ascii="Verdana" w:hAnsi="Verdana"/>
          <w:sz w:val="22"/>
          <w:szCs w:val="22"/>
          <w:lang w:val="lt-LT"/>
        </w:rPr>
      </w:pPr>
    </w:p>
    <w:p w14:paraId="2AF90C25" w14:textId="77777777" w:rsidR="000D4E1F" w:rsidRPr="00682C4B" w:rsidRDefault="000D4E1F" w:rsidP="000D4E1F">
      <w:pPr>
        <w:rPr>
          <w:rStyle w:val="Grietas"/>
          <w:rFonts w:ascii="Verdana" w:hAnsi="Verdana"/>
          <w:sz w:val="22"/>
          <w:szCs w:val="22"/>
          <w:lang w:val="lt-LT"/>
        </w:rPr>
      </w:pPr>
    </w:p>
    <w:p w14:paraId="2F53C33B" w14:textId="77777777" w:rsidR="000D4E1F" w:rsidRPr="00682C4B" w:rsidRDefault="000D4E1F" w:rsidP="000D4E1F">
      <w:pPr>
        <w:rPr>
          <w:rStyle w:val="Grietas"/>
          <w:rFonts w:ascii="Verdana" w:hAnsi="Verdana"/>
          <w:sz w:val="22"/>
          <w:szCs w:val="22"/>
          <w:lang w:val="lt-LT"/>
        </w:rPr>
      </w:pPr>
    </w:p>
    <w:p w14:paraId="3B757577" w14:textId="77777777" w:rsidR="000D4E1F" w:rsidRPr="00682C4B" w:rsidRDefault="000D4E1F" w:rsidP="000D4E1F">
      <w:pPr>
        <w:pStyle w:val="Antrat2"/>
        <w:jc w:val="center"/>
        <w:rPr>
          <w:rFonts w:ascii="Verdana" w:eastAsia="Calibri" w:hAnsi="Verdana"/>
          <w:b/>
          <w:color w:val="auto"/>
          <w:sz w:val="22"/>
          <w:szCs w:val="22"/>
        </w:rPr>
      </w:pPr>
      <w:r w:rsidRPr="00682C4B">
        <w:rPr>
          <w:rFonts w:ascii="Verdana" w:eastAsia="Calibri" w:hAnsi="Verdana"/>
          <w:b/>
          <w:color w:val="auto"/>
          <w:sz w:val="22"/>
          <w:szCs w:val="22"/>
        </w:rPr>
        <w:t>Atsiskaitymas ir kontaktai</w:t>
      </w:r>
    </w:p>
    <w:p w14:paraId="24283790" w14:textId="77777777" w:rsidR="000D4E1F" w:rsidRPr="00682C4B" w:rsidRDefault="000D4E1F" w:rsidP="000D4E1F">
      <w:pPr>
        <w:rPr>
          <w:rFonts w:ascii="Verdana" w:eastAsia="Calibri" w:hAnsi="Verdana"/>
          <w:sz w:val="22"/>
          <w:szCs w:val="22"/>
          <w:lang w:val="lt-LT" w:eastAsia="en-US"/>
        </w:rPr>
      </w:pPr>
    </w:p>
    <w:p w14:paraId="346C4A4B" w14:textId="1D033CB7" w:rsidR="00283473" w:rsidRPr="00682C4B" w:rsidRDefault="00283473" w:rsidP="00283473">
      <w:pPr>
        <w:rPr>
          <w:rFonts w:ascii="Verdana" w:hAnsi="Verdana"/>
          <w:sz w:val="22"/>
          <w:szCs w:val="22"/>
          <w:lang w:val="lt-LT"/>
        </w:rPr>
      </w:pPr>
      <w:r w:rsidRPr="00682C4B">
        <w:rPr>
          <w:rFonts w:ascii="Verdana" w:hAnsi="Verdana"/>
          <w:sz w:val="22"/>
          <w:szCs w:val="22"/>
          <w:lang w:val="lt-LT"/>
        </w:rPr>
        <w:t>1.</w:t>
      </w:r>
      <w:r w:rsidRPr="00682C4B">
        <w:rPr>
          <w:rFonts w:ascii="Verdana" w:hAnsi="Verdana"/>
          <w:sz w:val="22"/>
          <w:szCs w:val="22"/>
          <w:lang w:val="lt-LT"/>
        </w:rPr>
        <w:tab/>
        <w:t xml:space="preserve">Teisingai užpildytą ir patikrintą statistinę formą institucijos atsakingas darbuotojas išsaugo ir patvirtina taip, kaip nurodyta „Pateikimo į ŠVIS tvarka“ </w:t>
      </w:r>
      <w:r w:rsidR="000A6503">
        <w:rPr>
          <w:rFonts w:ascii="Verdana" w:hAnsi="Verdana"/>
          <w:sz w:val="22"/>
          <w:szCs w:val="22"/>
          <w:lang w:val="lt-LT"/>
        </w:rPr>
        <w:t>2</w:t>
      </w:r>
      <w:r w:rsidRPr="00682C4B">
        <w:rPr>
          <w:rFonts w:ascii="Verdana" w:hAnsi="Verdana"/>
          <w:sz w:val="22"/>
          <w:szCs w:val="22"/>
          <w:lang w:val="lt-LT"/>
        </w:rPr>
        <w:t xml:space="preserve"> punkte.</w:t>
      </w:r>
    </w:p>
    <w:p w14:paraId="396AE514" w14:textId="77777777" w:rsidR="00283473" w:rsidRPr="00682C4B" w:rsidRDefault="00283473" w:rsidP="00283473">
      <w:pPr>
        <w:rPr>
          <w:rFonts w:ascii="Verdana" w:hAnsi="Verdana"/>
          <w:sz w:val="22"/>
          <w:szCs w:val="22"/>
          <w:lang w:val="lt-LT"/>
        </w:rPr>
      </w:pPr>
      <w:r w:rsidRPr="00682C4B">
        <w:rPr>
          <w:rFonts w:ascii="Verdana" w:hAnsi="Verdana"/>
          <w:sz w:val="22"/>
          <w:szCs w:val="22"/>
          <w:lang w:val="lt-LT"/>
        </w:rPr>
        <w:t>2.</w:t>
      </w:r>
      <w:r w:rsidRPr="00682C4B">
        <w:rPr>
          <w:rFonts w:ascii="Verdana" w:hAnsi="Verdana"/>
          <w:sz w:val="22"/>
          <w:szCs w:val="22"/>
          <w:lang w:val="lt-LT"/>
        </w:rPr>
        <w:tab/>
        <w:t xml:space="preserve">Jei patvirtinęs statistinę formą institucijos atsakingas darbuotojas pastebi joje klaidų, tuomet savivaldybių ir nevalstybinės mokyklos turi kreiptis į savo savivaldybės atsakingus asmenis dėl statistinės formos atšaukimo. </w:t>
      </w:r>
    </w:p>
    <w:p w14:paraId="54E31531" w14:textId="47B89CB4" w:rsidR="00283473" w:rsidRPr="00682C4B" w:rsidRDefault="00283473" w:rsidP="00283473">
      <w:pPr>
        <w:rPr>
          <w:rFonts w:ascii="Verdana" w:hAnsi="Verdana"/>
          <w:sz w:val="22"/>
          <w:szCs w:val="22"/>
          <w:lang w:val="lt-LT"/>
        </w:rPr>
      </w:pPr>
      <w:r w:rsidRPr="00682C4B">
        <w:rPr>
          <w:rFonts w:ascii="Verdana" w:hAnsi="Verdana"/>
          <w:sz w:val="22"/>
          <w:szCs w:val="22"/>
          <w:lang w:val="lt-LT"/>
        </w:rPr>
        <w:lastRenderedPageBreak/>
        <w:t>3.</w:t>
      </w:r>
      <w:r w:rsidRPr="00682C4B">
        <w:rPr>
          <w:rFonts w:ascii="Verdana" w:hAnsi="Verdana"/>
          <w:sz w:val="22"/>
          <w:szCs w:val="22"/>
          <w:lang w:val="lt-LT"/>
        </w:rPr>
        <w:tab/>
        <w:t>Valstybinės mokyklos, norėdamos atšaukti statistinę formą, turi kreiptis į 11 punkte nurodytus Nacionalinės švietimo agentūros (toliau – NŠA) kontaktinius asmenis.</w:t>
      </w:r>
    </w:p>
    <w:p w14:paraId="26B0EC58" w14:textId="49BCDF4D" w:rsidR="00283473" w:rsidRPr="00682C4B" w:rsidRDefault="00283473" w:rsidP="00283473">
      <w:pPr>
        <w:rPr>
          <w:rFonts w:ascii="Verdana" w:hAnsi="Verdana"/>
          <w:sz w:val="22"/>
          <w:szCs w:val="22"/>
          <w:lang w:val="lt-LT"/>
        </w:rPr>
      </w:pPr>
      <w:r w:rsidRPr="00682C4B">
        <w:rPr>
          <w:rFonts w:ascii="Verdana" w:hAnsi="Verdana"/>
          <w:sz w:val="22"/>
          <w:szCs w:val="22"/>
          <w:lang w:val="lt-LT"/>
        </w:rPr>
        <w:t>4.</w:t>
      </w:r>
      <w:r w:rsidRPr="00682C4B">
        <w:rPr>
          <w:rFonts w:ascii="Verdana" w:hAnsi="Verdana"/>
          <w:sz w:val="22"/>
          <w:szCs w:val="22"/>
          <w:lang w:val="lt-LT"/>
        </w:rPr>
        <w:tab/>
        <w:t xml:space="preserve">Visoms savivaldybėje veikiančioms bendrojo ugdymo mokykloms užpildžius ir patvirtinus šią formą, savivaldybės atsakingas darbuotojas jas patikrina, ir, jei randa netikslumų, atšaukia institucijos patvirtintą ataskaitą bei praneša institucijai, kad ją reikia taisyti. </w:t>
      </w:r>
    </w:p>
    <w:p w14:paraId="6C67A2E4" w14:textId="5F881CEB" w:rsidR="00283473" w:rsidRPr="00682C4B" w:rsidRDefault="00283473" w:rsidP="00283473">
      <w:pPr>
        <w:rPr>
          <w:rFonts w:ascii="Verdana" w:hAnsi="Verdana"/>
          <w:sz w:val="22"/>
          <w:szCs w:val="22"/>
          <w:lang w:val="lt-LT"/>
        </w:rPr>
      </w:pPr>
      <w:r w:rsidRPr="00682C4B">
        <w:rPr>
          <w:rFonts w:ascii="Verdana" w:hAnsi="Verdana"/>
          <w:sz w:val="22"/>
          <w:szCs w:val="22"/>
          <w:lang w:val="lt-LT"/>
        </w:rPr>
        <w:t>5.</w:t>
      </w:r>
      <w:r w:rsidRPr="00682C4B">
        <w:rPr>
          <w:rFonts w:ascii="Verdana" w:hAnsi="Verdana"/>
          <w:sz w:val="22"/>
          <w:szCs w:val="22"/>
          <w:lang w:val="lt-LT"/>
        </w:rPr>
        <w:tab/>
        <w:t>Kai savivaldybės atsakingas darbuotojas patikrina visų mokyklų patvirtintus duomenis ir klaidų neberanda, tuomet informuoja apie tai elektroniniu paštu 11 punkte  nurodytą atsakingą NŠA darbuotoją.</w:t>
      </w:r>
    </w:p>
    <w:p w14:paraId="5EE0E423" w14:textId="00561566" w:rsidR="00283473" w:rsidRPr="00682C4B" w:rsidRDefault="00283473" w:rsidP="00283473">
      <w:pPr>
        <w:rPr>
          <w:rFonts w:ascii="Verdana" w:hAnsi="Verdana"/>
          <w:sz w:val="22"/>
          <w:szCs w:val="22"/>
          <w:lang w:val="lt-LT"/>
        </w:rPr>
      </w:pPr>
      <w:r w:rsidRPr="00682C4B">
        <w:rPr>
          <w:rFonts w:ascii="Verdana" w:hAnsi="Verdana"/>
          <w:sz w:val="22"/>
          <w:szCs w:val="22"/>
          <w:lang w:val="lt-LT"/>
        </w:rPr>
        <w:t>6.</w:t>
      </w:r>
      <w:r w:rsidRPr="00682C4B">
        <w:rPr>
          <w:rFonts w:ascii="Verdana" w:hAnsi="Verdana"/>
          <w:sz w:val="22"/>
          <w:szCs w:val="22"/>
          <w:lang w:val="lt-LT"/>
        </w:rPr>
        <w:tab/>
        <w:t>Jeigu savivaldybėms atsiskaičius statistinę formą NŠA darbuotojas ras netikslumų, jis informuos savivaldybės atsakingą darbuotoją, kuris atšauks nurodytų institucijų patvirtintus duomenis ir praneš nurodytoms institucijoms, įpareigodamas ištaisyti netikslumus. Kai visos klaidos bus ištaisytos ir ataskaitos vėl patvirtintos, savivaldybės atsakingas darbuotojas pakartotinai informuos apie galutinius rezultatus 11 punkte nurodytu el. paštu NŠA atsakingą darbuotoją. Jeigu NŠA darbuotojas neras netikslumų patvirtintose ataskaitose – bus laikoma, kad savivaldybė statistinę formą atsiskaitė.</w:t>
      </w:r>
    </w:p>
    <w:p w14:paraId="749CEE59" w14:textId="77777777" w:rsidR="00283473" w:rsidRPr="00682C4B" w:rsidRDefault="00283473" w:rsidP="00283473">
      <w:pPr>
        <w:rPr>
          <w:rFonts w:ascii="Verdana" w:hAnsi="Verdana"/>
          <w:sz w:val="22"/>
          <w:szCs w:val="22"/>
          <w:lang w:val="lt-LT"/>
        </w:rPr>
      </w:pPr>
      <w:r w:rsidRPr="00682C4B">
        <w:rPr>
          <w:rFonts w:ascii="Verdana" w:hAnsi="Verdana"/>
          <w:sz w:val="22"/>
          <w:szCs w:val="22"/>
          <w:lang w:val="lt-LT"/>
        </w:rPr>
        <w:t>7.</w:t>
      </w:r>
      <w:r w:rsidRPr="00682C4B">
        <w:rPr>
          <w:rFonts w:ascii="Verdana" w:hAnsi="Verdana"/>
          <w:sz w:val="22"/>
          <w:szCs w:val="22"/>
          <w:lang w:val="lt-LT"/>
        </w:rPr>
        <w:tab/>
        <w:t xml:space="preserve">Institucijos </w:t>
      </w:r>
      <w:proofErr w:type="spellStart"/>
      <w:r w:rsidRPr="00682C4B">
        <w:rPr>
          <w:rFonts w:ascii="Verdana" w:hAnsi="Verdana"/>
          <w:sz w:val="22"/>
          <w:szCs w:val="22"/>
          <w:lang w:val="lt-LT"/>
        </w:rPr>
        <w:t>pildytojas</w:t>
      </w:r>
      <w:proofErr w:type="spellEnd"/>
      <w:r w:rsidRPr="00682C4B">
        <w:rPr>
          <w:rFonts w:ascii="Verdana" w:hAnsi="Verdana"/>
          <w:sz w:val="22"/>
          <w:szCs w:val="22"/>
          <w:lang w:val="lt-LT"/>
        </w:rPr>
        <w:t xml:space="preserve"> arba tvirtintojas visais formos pildymo, tvirtinimo ir atsiskaitymo klausimais konsultuojasi su </w:t>
      </w:r>
      <w:proofErr w:type="spellStart"/>
      <w:r w:rsidRPr="00682C4B">
        <w:rPr>
          <w:rFonts w:ascii="Verdana" w:hAnsi="Verdana"/>
          <w:sz w:val="22"/>
          <w:szCs w:val="22"/>
          <w:lang w:val="lt-LT"/>
        </w:rPr>
        <w:t>teritoriškai</w:t>
      </w:r>
      <w:proofErr w:type="spellEnd"/>
      <w:r w:rsidRPr="00682C4B">
        <w:rPr>
          <w:rFonts w:ascii="Verdana" w:hAnsi="Verdana"/>
          <w:sz w:val="22"/>
          <w:szCs w:val="22"/>
          <w:lang w:val="lt-LT"/>
        </w:rPr>
        <w:t xml:space="preserve"> įstaigai priskirtos savivaldybės atsakingu darbuotoju.</w:t>
      </w:r>
    </w:p>
    <w:p w14:paraId="4370D227" w14:textId="22E49640" w:rsidR="00283473" w:rsidRPr="00682C4B" w:rsidRDefault="00283473" w:rsidP="00283473">
      <w:pPr>
        <w:rPr>
          <w:rFonts w:ascii="Verdana" w:hAnsi="Verdana"/>
          <w:sz w:val="22"/>
          <w:szCs w:val="22"/>
          <w:lang w:val="lt-LT"/>
        </w:rPr>
      </w:pPr>
      <w:r w:rsidRPr="00682C4B">
        <w:rPr>
          <w:rFonts w:ascii="Verdana" w:hAnsi="Verdana"/>
          <w:sz w:val="22"/>
          <w:szCs w:val="22"/>
          <w:lang w:val="lt-LT"/>
        </w:rPr>
        <w:t>8.</w:t>
      </w:r>
      <w:r w:rsidRPr="00682C4B">
        <w:rPr>
          <w:rFonts w:ascii="Verdana" w:hAnsi="Verdana"/>
          <w:sz w:val="22"/>
          <w:szCs w:val="22"/>
          <w:lang w:val="lt-LT"/>
        </w:rPr>
        <w:tab/>
        <w:t xml:space="preserve">Savivaldybės darbuotojas visais formos pildymo, tvirtinimo ir atsiskaitymo klausimais konsultuojasi su 11 punkte nurodytu NŠA atsakingu darbuotoju. </w:t>
      </w:r>
    </w:p>
    <w:p w14:paraId="5A3B0BE4" w14:textId="188393A0" w:rsidR="00283473" w:rsidRPr="00682C4B" w:rsidRDefault="00283473" w:rsidP="00283473">
      <w:pPr>
        <w:rPr>
          <w:rFonts w:ascii="Verdana" w:hAnsi="Verdana"/>
          <w:sz w:val="22"/>
          <w:szCs w:val="22"/>
          <w:lang w:val="lt-LT"/>
        </w:rPr>
      </w:pPr>
      <w:r w:rsidRPr="00682C4B">
        <w:rPr>
          <w:rFonts w:ascii="Verdana" w:hAnsi="Verdana"/>
          <w:sz w:val="22"/>
          <w:szCs w:val="22"/>
          <w:lang w:val="lt-LT"/>
        </w:rPr>
        <w:t>9.</w:t>
      </w:r>
      <w:r w:rsidRPr="00682C4B">
        <w:rPr>
          <w:rFonts w:ascii="Verdana" w:hAnsi="Verdana"/>
          <w:sz w:val="22"/>
          <w:szCs w:val="22"/>
          <w:lang w:val="lt-LT"/>
        </w:rPr>
        <w:tab/>
        <w:t xml:space="preserve">Jei valstybinėms mokykloms atsiskaičius statistinę formą NŠA darbuotojas ras netikslumų, jis atšauks statistinės formos atsiskaitymą ir apie klaidas informuos institucijos atsakingą darbuotoją įpareigodamas ištaisyti netikslumus. Kai visos klaidos bus ištaisytos ir ataskaitos vėl patvirtintos, valstybinės mokyklos </w:t>
      </w:r>
      <w:proofErr w:type="spellStart"/>
      <w:r w:rsidRPr="00682C4B">
        <w:rPr>
          <w:rFonts w:ascii="Verdana" w:hAnsi="Verdana"/>
          <w:sz w:val="22"/>
          <w:szCs w:val="22"/>
          <w:lang w:val="lt-LT"/>
        </w:rPr>
        <w:t>pildytojas</w:t>
      </w:r>
      <w:proofErr w:type="spellEnd"/>
      <w:r w:rsidRPr="00682C4B">
        <w:rPr>
          <w:rFonts w:ascii="Verdana" w:hAnsi="Verdana"/>
          <w:sz w:val="22"/>
          <w:szCs w:val="22"/>
          <w:lang w:val="lt-LT"/>
        </w:rPr>
        <w:t xml:space="preserve"> arba tvirtintojas pakartotinai informuos apie galutinius rezultatus 11 punkte nurodytu el. paštu NŠA atsakingą darbuotoją. Jei NŠA darbuotojas neras netikslumų patvirtintoje formoje – bus laikoma, kad institucija statistinę formą atsiskaitė.</w:t>
      </w:r>
    </w:p>
    <w:p w14:paraId="26440EFC" w14:textId="7D723624" w:rsidR="00283473" w:rsidRPr="00682C4B" w:rsidRDefault="00283473" w:rsidP="00283473">
      <w:pPr>
        <w:rPr>
          <w:rFonts w:ascii="Verdana" w:hAnsi="Verdana"/>
          <w:sz w:val="22"/>
          <w:szCs w:val="22"/>
          <w:lang w:val="lt-LT"/>
        </w:rPr>
      </w:pPr>
      <w:r w:rsidRPr="00682C4B">
        <w:rPr>
          <w:rFonts w:ascii="Verdana" w:hAnsi="Verdana"/>
          <w:sz w:val="22"/>
          <w:szCs w:val="22"/>
          <w:lang w:val="lt-LT"/>
        </w:rPr>
        <w:t>10.</w:t>
      </w:r>
      <w:r w:rsidRPr="00682C4B">
        <w:rPr>
          <w:rFonts w:ascii="Verdana" w:hAnsi="Verdana"/>
          <w:sz w:val="22"/>
          <w:szCs w:val="22"/>
          <w:lang w:val="lt-LT"/>
        </w:rPr>
        <w:tab/>
        <w:t xml:space="preserve">Valstybinės mokyklos </w:t>
      </w:r>
      <w:proofErr w:type="spellStart"/>
      <w:r w:rsidRPr="00682C4B">
        <w:rPr>
          <w:rFonts w:ascii="Verdana" w:hAnsi="Verdana"/>
          <w:sz w:val="22"/>
          <w:szCs w:val="22"/>
          <w:lang w:val="lt-LT"/>
        </w:rPr>
        <w:t>pildytojas</w:t>
      </w:r>
      <w:proofErr w:type="spellEnd"/>
      <w:r w:rsidRPr="00682C4B">
        <w:rPr>
          <w:rFonts w:ascii="Verdana" w:hAnsi="Verdana"/>
          <w:sz w:val="22"/>
          <w:szCs w:val="22"/>
          <w:lang w:val="lt-LT"/>
        </w:rPr>
        <w:t xml:space="preserve"> arba tvirtintojas formos pildymo, tvirtinimo ir atsiskaitymo konsultuojasi su 11 punkte nurodytu NŠA atsakingu darbuotoju. </w:t>
      </w:r>
    </w:p>
    <w:p w14:paraId="443FE02A" w14:textId="658C3019" w:rsidR="00901A5B" w:rsidRPr="00682C4B" w:rsidRDefault="00283473" w:rsidP="00985C5F">
      <w:pPr>
        <w:rPr>
          <w:rFonts w:ascii="Verdana" w:hAnsi="Verdana"/>
          <w:sz w:val="22"/>
          <w:szCs w:val="22"/>
          <w:lang w:val="lt-LT"/>
        </w:rPr>
      </w:pPr>
      <w:r w:rsidRPr="00682C4B">
        <w:rPr>
          <w:rFonts w:ascii="Verdana" w:hAnsi="Verdana"/>
          <w:sz w:val="22"/>
          <w:szCs w:val="22"/>
          <w:lang w:val="lt-LT"/>
        </w:rPr>
        <w:t>11.</w:t>
      </w:r>
      <w:r w:rsidRPr="00682C4B">
        <w:rPr>
          <w:rFonts w:ascii="Verdana" w:hAnsi="Verdana"/>
          <w:sz w:val="22"/>
          <w:szCs w:val="22"/>
          <w:lang w:val="lt-LT"/>
        </w:rPr>
        <w:tab/>
      </w:r>
      <w:r w:rsidR="000D4E1F" w:rsidRPr="00682C4B">
        <w:rPr>
          <w:rFonts w:ascii="Verdana" w:hAnsi="Verdana"/>
          <w:sz w:val="22"/>
          <w:szCs w:val="22"/>
          <w:lang w:val="lt-LT"/>
        </w:rPr>
        <w:t xml:space="preserve">Šios formos pildymo ir atsiskaitymo klausimais konsultuoja </w:t>
      </w:r>
      <w:r w:rsidR="000D4E1F" w:rsidRPr="00682C4B">
        <w:rPr>
          <w:rFonts w:ascii="Verdana" w:hAnsi="Verdana"/>
          <w:b/>
          <w:sz w:val="22"/>
          <w:szCs w:val="22"/>
          <w:lang w:val="lt-LT"/>
        </w:rPr>
        <w:t xml:space="preserve">Galina </w:t>
      </w:r>
      <w:proofErr w:type="spellStart"/>
      <w:r w:rsidR="000D4E1F" w:rsidRPr="00682C4B">
        <w:rPr>
          <w:rFonts w:ascii="Verdana" w:hAnsi="Verdana"/>
          <w:b/>
          <w:sz w:val="22"/>
          <w:szCs w:val="22"/>
          <w:lang w:val="lt-LT"/>
        </w:rPr>
        <w:t>Šestakova</w:t>
      </w:r>
      <w:proofErr w:type="spellEnd"/>
      <w:r w:rsidR="000D4E1F" w:rsidRPr="00682C4B">
        <w:rPr>
          <w:rFonts w:ascii="Verdana" w:hAnsi="Verdana"/>
          <w:sz w:val="22"/>
          <w:szCs w:val="22"/>
          <w:lang w:val="lt-LT"/>
        </w:rPr>
        <w:t xml:space="preserve"> telefonu </w:t>
      </w:r>
      <w:r w:rsidR="00985C5F" w:rsidRPr="00682C4B">
        <w:rPr>
          <w:rFonts w:ascii="Verdana" w:hAnsi="Verdana"/>
          <w:sz w:val="22"/>
          <w:szCs w:val="22"/>
          <w:lang w:val="lt-LT"/>
        </w:rPr>
        <w:t xml:space="preserve"> </w:t>
      </w:r>
      <w:bookmarkStart w:id="0" w:name="_GoBack"/>
      <w:r w:rsidR="00416730" w:rsidRPr="00416730">
        <w:rPr>
          <w:rFonts w:ascii="Verdana" w:hAnsi="Verdana"/>
          <w:color w:val="212529"/>
          <w:sz w:val="22"/>
          <w:szCs w:val="22"/>
        </w:rPr>
        <w:t>8 658 18504</w:t>
      </w:r>
      <w:bookmarkEnd w:id="0"/>
    </w:p>
    <w:p w14:paraId="600BD050" w14:textId="2BA3C16B" w:rsidR="000D4E1F" w:rsidRPr="00682C4B" w:rsidRDefault="00985C5F" w:rsidP="00985C5F">
      <w:pPr>
        <w:rPr>
          <w:rFonts w:ascii="Verdana" w:hAnsi="Verdana"/>
          <w:sz w:val="22"/>
          <w:szCs w:val="22"/>
          <w:lang w:val="lt-LT"/>
        </w:rPr>
      </w:pPr>
      <w:r w:rsidRPr="00682C4B">
        <w:rPr>
          <w:rFonts w:ascii="Verdana" w:hAnsi="Verdana"/>
          <w:sz w:val="22"/>
          <w:szCs w:val="22"/>
          <w:lang w:val="lt-LT"/>
        </w:rPr>
        <w:t xml:space="preserve"> </w:t>
      </w:r>
      <w:r w:rsidR="000D4E1F" w:rsidRPr="00682C4B">
        <w:rPr>
          <w:rFonts w:ascii="Verdana" w:hAnsi="Verdana"/>
          <w:sz w:val="22"/>
          <w:szCs w:val="22"/>
          <w:lang w:val="lt-LT"/>
        </w:rPr>
        <w:t>i</w:t>
      </w:r>
      <w:r w:rsidRPr="00682C4B">
        <w:rPr>
          <w:rFonts w:ascii="Verdana" w:hAnsi="Verdana"/>
          <w:sz w:val="22"/>
          <w:szCs w:val="22"/>
          <w:lang w:val="lt-LT"/>
        </w:rPr>
        <w:t>r el. paštu galina.sestakova@nsa</w:t>
      </w:r>
      <w:r w:rsidR="000D4E1F" w:rsidRPr="00682C4B">
        <w:rPr>
          <w:rFonts w:ascii="Verdana" w:hAnsi="Verdana"/>
          <w:sz w:val="22"/>
          <w:szCs w:val="22"/>
          <w:lang w:val="lt-LT"/>
        </w:rPr>
        <w:t>.smm.lt</w:t>
      </w:r>
    </w:p>
    <w:p w14:paraId="40436973" w14:textId="77777777" w:rsidR="00683C26" w:rsidRPr="00682C4B" w:rsidRDefault="00683C26">
      <w:pPr>
        <w:rPr>
          <w:rFonts w:ascii="Verdana" w:hAnsi="Verdana"/>
          <w:sz w:val="22"/>
          <w:szCs w:val="22"/>
          <w:lang w:val="lt-LT"/>
        </w:rPr>
      </w:pPr>
    </w:p>
    <w:sectPr w:rsidR="00683C26" w:rsidRPr="00682C4B" w:rsidSect="00675888">
      <w:pgSz w:w="15840" w:h="12240" w:orient="landscape"/>
      <w:pgMar w:top="432" w:right="1008" w:bottom="850" w:left="850" w:header="562" w:footer="562" w:gutter="1138"/>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F54A5"/>
    <w:multiLevelType w:val="hybridMultilevel"/>
    <w:tmpl w:val="40C8CCC4"/>
    <w:lvl w:ilvl="0" w:tplc="53F2E1B4">
      <w:start w:val="1"/>
      <w:numFmt w:val="low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59E053C"/>
    <w:multiLevelType w:val="hybridMultilevel"/>
    <w:tmpl w:val="14B00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C544E56"/>
    <w:multiLevelType w:val="hybridMultilevel"/>
    <w:tmpl w:val="9870A7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04F7D79"/>
    <w:multiLevelType w:val="hybridMultilevel"/>
    <w:tmpl w:val="225800A2"/>
    <w:lvl w:ilvl="0" w:tplc="A43ABE2C">
      <w:start w:val="1"/>
      <w:numFmt w:val="decimal"/>
      <w:suff w:val="space"/>
      <w:lvlText w:val="%1."/>
      <w:lvlJc w:val="left"/>
      <w:pPr>
        <w:ind w:left="1077" w:hanging="360"/>
      </w:pPr>
      <w:rPr>
        <w:rFonts w:hint="default"/>
      </w:rPr>
    </w:lvl>
    <w:lvl w:ilvl="1" w:tplc="04270019">
      <w:start w:val="1"/>
      <w:numFmt w:val="lowerLetter"/>
      <w:lvlText w:val="%2."/>
      <w:lvlJc w:val="left"/>
      <w:pPr>
        <w:tabs>
          <w:tab w:val="num" w:pos="1797"/>
        </w:tabs>
        <w:ind w:left="1797" w:hanging="360"/>
      </w:pPr>
    </w:lvl>
    <w:lvl w:ilvl="2" w:tplc="0427001B">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abstractNum w:abstractNumId="4" w15:restartNumberingAfterBreak="0">
    <w:nsid w:val="70EA03AE"/>
    <w:multiLevelType w:val="hybridMultilevel"/>
    <w:tmpl w:val="3412EC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1F"/>
    <w:rsid w:val="000A6503"/>
    <w:rsid w:val="000D4E1F"/>
    <w:rsid w:val="00104A60"/>
    <w:rsid w:val="00107CD1"/>
    <w:rsid w:val="00225B6F"/>
    <w:rsid w:val="00265C92"/>
    <w:rsid w:val="00283473"/>
    <w:rsid w:val="002D5866"/>
    <w:rsid w:val="003735C8"/>
    <w:rsid w:val="003F4006"/>
    <w:rsid w:val="00416730"/>
    <w:rsid w:val="005405DB"/>
    <w:rsid w:val="00585A7E"/>
    <w:rsid w:val="00682C4B"/>
    <w:rsid w:val="00683C26"/>
    <w:rsid w:val="00695035"/>
    <w:rsid w:val="006B3A56"/>
    <w:rsid w:val="00723EF7"/>
    <w:rsid w:val="007D3079"/>
    <w:rsid w:val="0085309D"/>
    <w:rsid w:val="00853F01"/>
    <w:rsid w:val="00877E2E"/>
    <w:rsid w:val="008C0876"/>
    <w:rsid w:val="00901A5B"/>
    <w:rsid w:val="009234C8"/>
    <w:rsid w:val="00985C5F"/>
    <w:rsid w:val="0099501A"/>
    <w:rsid w:val="00A02913"/>
    <w:rsid w:val="00A956B1"/>
    <w:rsid w:val="00AC26A9"/>
    <w:rsid w:val="00B41559"/>
    <w:rsid w:val="00B92EDE"/>
    <w:rsid w:val="00BD5C23"/>
    <w:rsid w:val="00BF2E04"/>
    <w:rsid w:val="00C32770"/>
    <w:rsid w:val="00C367A5"/>
    <w:rsid w:val="00C721A9"/>
    <w:rsid w:val="00C8111E"/>
    <w:rsid w:val="00CC66F7"/>
    <w:rsid w:val="00CE0D84"/>
    <w:rsid w:val="00CF4664"/>
    <w:rsid w:val="00D242FC"/>
    <w:rsid w:val="00D44A30"/>
    <w:rsid w:val="00D56CCA"/>
    <w:rsid w:val="00D60644"/>
    <w:rsid w:val="00E059B1"/>
    <w:rsid w:val="00E72E9F"/>
    <w:rsid w:val="00EB357A"/>
    <w:rsid w:val="00EB3EFB"/>
    <w:rsid w:val="00F1558A"/>
    <w:rsid w:val="00F9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37E7"/>
  <w15:chartTrackingRefBased/>
  <w15:docId w15:val="{B4F86712-09CC-43A7-9EB2-6F5BE5C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D4E1F"/>
    <w:pPr>
      <w:spacing w:after="0" w:line="240" w:lineRule="auto"/>
    </w:pPr>
    <w:rPr>
      <w:rFonts w:ascii="Times New Roman" w:eastAsia="Times New Roman" w:hAnsi="Times New Roman" w:cs="Times New Roman"/>
      <w:sz w:val="20"/>
      <w:szCs w:val="20"/>
      <w:lang w:val="en-US" w:eastAsia="lt-LT"/>
    </w:rPr>
  </w:style>
  <w:style w:type="paragraph" w:styleId="Antrat2">
    <w:name w:val="heading 2"/>
    <w:basedOn w:val="prastasis"/>
    <w:next w:val="prastasis"/>
    <w:link w:val="Antrat2Diagrama"/>
    <w:uiPriority w:val="9"/>
    <w:unhideWhenUsed/>
    <w:qFormat/>
    <w:rsid w:val="000D4E1F"/>
    <w:pPr>
      <w:keepNext/>
      <w:keepLines/>
      <w:spacing w:before="40" w:line="276" w:lineRule="auto"/>
      <w:outlineLvl w:val="1"/>
    </w:pPr>
    <w:rPr>
      <w:rFonts w:ascii="Calibri Light" w:hAnsi="Calibri Light"/>
      <w:color w:val="2E74B5"/>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D4E1F"/>
    <w:rPr>
      <w:rFonts w:ascii="Calibri Light" w:eastAsia="Times New Roman" w:hAnsi="Calibri Light" w:cs="Times New Roman"/>
      <w:color w:val="2E74B5"/>
      <w:sz w:val="26"/>
      <w:szCs w:val="26"/>
      <w:lang w:val="lt-LT"/>
    </w:rPr>
  </w:style>
  <w:style w:type="character" w:styleId="Grietas">
    <w:name w:val="Strong"/>
    <w:qFormat/>
    <w:rsid w:val="000D4E1F"/>
    <w:rPr>
      <w:b/>
    </w:rPr>
  </w:style>
  <w:style w:type="paragraph" w:styleId="Pagrindinistekstas">
    <w:name w:val="Body Text"/>
    <w:basedOn w:val="prastasis"/>
    <w:link w:val="PagrindinistekstasDiagrama"/>
    <w:rsid w:val="000D4E1F"/>
    <w:rPr>
      <w:sz w:val="22"/>
    </w:rPr>
  </w:style>
  <w:style w:type="character" w:customStyle="1" w:styleId="PagrindinistekstasDiagrama">
    <w:name w:val="Pagrindinis tekstas Diagrama"/>
    <w:basedOn w:val="Numatytasispastraiposriftas"/>
    <w:link w:val="Pagrindinistekstas"/>
    <w:rsid w:val="000D4E1F"/>
    <w:rPr>
      <w:rFonts w:ascii="Times New Roman" w:eastAsia="Times New Roman" w:hAnsi="Times New Roman" w:cs="Times New Roman"/>
      <w:szCs w:val="20"/>
      <w:lang w:val="en-US" w:eastAsia="lt-LT"/>
    </w:rPr>
  </w:style>
  <w:style w:type="character" w:styleId="Komentaronuoroda">
    <w:name w:val="annotation reference"/>
    <w:rsid w:val="000D4E1F"/>
    <w:rPr>
      <w:sz w:val="16"/>
      <w:szCs w:val="16"/>
    </w:rPr>
  </w:style>
  <w:style w:type="paragraph" w:styleId="Komentarotekstas">
    <w:name w:val="annotation text"/>
    <w:basedOn w:val="prastasis"/>
    <w:link w:val="KomentarotekstasDiagrama"/>
    <w:rsid w:val="000D4E1F"/>
  </w:style>
  <w:style w:type="character" w:customStyle="1" w:styleId="KomentarotekstasDiagrama">
    <w:name w:val="Komentaro tekstas Diagrama"/>
    <w:basedOn w:val="Numatytasispastraiposriftas"/>
    <w:link w:val="Komentarotekstas"/>
    <w:rsid w:val="000D4E1F"/>
    <w:rPr>
      <w:rFonts w:ascii="Times New Roman" w:eastAsia="Times New Roman" w:hAnsi="Times New Roman" w:cs="Times New Roman"/>
      <w:sz w:val="20"/>
      <w:szCs w:val="20"/>
      <w:lang w:val="en-US" w:eastAsia="lt-LT"/>
    </w:rPr>
  </w:style>
  <w:style w:type="character" w:styleId="Hipersaitas">
    <w:name w:val="Hyperlink"/>
    <w:rsid w:val="000D4E1F"/>
    <w:rPr>
      <w:color w:val="0563C1"/>
      <w:u w:val="single"/>
    </w:rPr>
  </w:style>
  <w:style w:type="paragraph" w:styleId="Debesliotekstas">
    <w:name w:val="Balloon Text"/>
    <w:basedOn w:val="prastasis"/>
    <w:link w:val="DebesliotekstasDiagrama"/>
    <w:uiPriority w:val="99"/>
    <w:semiHidden/>
    <w:unhideWhenUsed/>
    <w:rsid w:val="000D4E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4E1F"/>
    <w:rPr>
      <w:rFonts w:ascii="Segoe UI" w:eastAsia="Times New Roman" w:hAnsi="Segoe UI" w:cs="Segoe UI"/>
      <w:sz w:val="18"/>
      <w:szCs w:val="18"/>
      <w:lang w:val="en-US" w:eastAsia="lt-LT"/>
    </w:rPr>
  </w:style>
  <w:style w:type="paragraph" w:styleId="Sraopastraipa">
    <w:name w:val="List Paragraph"/>
    <w:basedOn w:val="prastasis"/>
    <w:uiPriority w:val="34"/>
    <w:qFormat/>
    <w:rsid w:val="008C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is.sm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7101-9D49-4494-8B17-7C2B8356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8747</Words>
  <Characters>4987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Sestakova</dc:creator>
  <cp:keywords/>
  <dc:description/>
  <cp:lastModifiedBy>Ineta Antanavičienė</cp:lastModifiedBy>
  <cp:revision>9</cp:revision>
  <dcterms:created xsi:type="dcterms:W3CDTF">2021-09-08T14:03:00Z</dcterms:created>
  <dcterms:modified xsi:type="dcterms:W3CDTF">2024-01-31T06:28:00Z</dcterms:modified>
</cp:coreProperties>
</file>